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000000"/>
          <w:sz w:val="32"/>
          <w:szCs w:val="32"/>
        </w:rPr>
      </w:pPr>
      <w:bookmarkStart w:id="0" w:name="_GoBack"/>
      <w:bookmarkEnd w:id="0"/>
      <w:r>
        <w:rPr>
          <w:rFonts w:hint="eastAsia" w:ascii="黑体" w:eastAsia="黑体"/>
          <w:color w:val="000000"/>
          <w:sz w:val="32"/>
          <w:szCs w:val="32"/>
        </w:rPr>
        <w:t>附件1</w:t>
      </w:r>
    </w:p>
    <w:p>
      <w:pPr>
        <w:rPr>
          <w:rFonts w:hint="eastAsia" w:ascii="黑体" w:eastAsia="黑体"/>
          <w:color w:val="000000"/>
          <w:sz w:val="32"/>
          <w:szCs w:val="32"/>
        </w:rPr>
      </w:pPr>
    </w:p>
    <w:p>
      <w:pPr>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第45届世界技能大赛新增参赛项目简介</w:t>
      </w:r>
    </w:p>
    <w:p>
      <w:pPr>
        <w:jc w:val="center"/>
        <w:rPr>
          <w:rFonts w:hint="eastAsia" w:ascii="方正小标宋简体" w:eastAsia="方正小标宋简体"/>
          <w:color w:val="000000"/>
          <w:sz w:val="16"/>
          <w:szCs w:val="16"/>
        </w:rPr>
      </w:pPr>
    </w:p>
    <w:tbl>
      <w:tblPr>
        <w:tblStyle w:val="5"/>
        <w:tblW w:w="9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850"/>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blHeader/>
          <w:jc w:val="center"/>
        </w:trPr>
        <w:tc>
          <w:tcPr>
            <w:tcW w:w="1384" w:type="dxa"/>
            <w:vAlign w:val="center"/>
          </w:tcPr>
          <w:p>
            <w:pPr>
              <w:snapToGrid w:val="0"/>
              <w:spacing w:line="240" w:lineRule="atLeast"/>
              <w:jc w:val="center"/>
              <w:rPr>
                <w:rFonts w:hint="eastAsia" w:ascii="仿宋_GB2312" w:eastAsia="仿宋_GB2312"/>
                <w:b/>
                <w:sz w:val="24"/>
                <w:szCs w:val="24"/>
              </w:rPr>
            </w:pPr>
            <w:r>
              <w:rPr>
                <w:rFonts w:hint="eastAsia" w:ascii="仿宋_GB2312" w:eastAsia="仿宋_GB2312"/>
                <w:b/>
                <w:sz w:val="24"/>
                <w:szCs w:val="24"/>
              </w:rPr>
              <w:t>项目名称</w:t>
            </w:r>
          </w:p>
        </w:tc>
        <w:tc>
          <w:tcPr>
            <w:tcW w:w="709" w:type="dxa"/>
            <w:vAlign w:val="center"/>
          </w:tcPr>
          <w:p>
            <w:pPr>
              <w:snapToGrid w:val="0"/>
              <w:spacing w:line="240" w:lineRule="atLeast"/>
              <w:jc w:val="center"/>
              <w:rPr>
                <w:rFonts w:hint="eastAsia" w:ascii="仿宋_GB2312" w:eastAsia="仿宋_GB2312"/>
                <w:b/>
                <w:sz w:val="24"/>
                <w:szCs w:val="24"/>
              </w:rPr>
            </w:pPr>
            <w:r>
              <w:rPr>
                <w:rFonts w:hint="eastAsia" w:ascii="仿宋_GB2312" w:eastAsia="仿宋_GB2312"/>
                <w:b/>
                <w:sz w:val="24"/>
                <w:szCs w:val="24"/>
              </w:rPr>
              <w:t>拟定选手数量</w:t>
            </w:r>
          </w:p>
        </w:tc>
        <w:tc>
          <w:tcPr>
            <w:tcW w:w="850" w:type="dxa"/>
            <w:vAlign w:val="center"/>
          </w:tcPr>
          <w:p>
            <w:pPr>
              <w:snapToGrid w:val="0"/>
              <w:spacing w:line="240" w:lineRule="atLeast"/>
              <w:jc w:val="center"/>
              <w:rPr>
                <w:rFonts w:hint="eastAsia" w:ascii="仿宋_GB2312" w:eastAsia="仿宋_GB2312"/>
                <w:b/>
                <w:sz w:val="24"/>
                <w:szCs w:val="24"/>
              </w:rPr>
            </w:pPr>
            <w:r>
              <w:rPr>
                <w:rFonts w:hint="eastAsia" w:ascii="仿宋_GB2312" w:eastAsia="仿宋_GB2312"/>
                <w:b/>
                <w:sz w:val="24"/>
                <w:szCs w:val="24"/>
              </w:rPr>
              <w:t>拟定年龄要求</w:t>
            </w:r>
          </w:p>
        </w:tc>
        <w:tc>
          <w:tcPr>
            <w:tcW w:w="6927" w:type="dxa"/>
            <w:vAlign w:val="center"/>
          </w:tcPr>
          <w:p>
            <w:pPr>
              <w:snapToGrid w:val="0"/>
              <w:spacing w:line="240" w:lineRule="atLeast"/>
              <w:jc w:val="center"/>
              <w:rPr>
                <w:rFonts w:hint="eastAsia" w:ascii="仿宋_GB2312" w:eastAsia="仿宋_GB2312"/>
                <w:b/>
                <w:sz w:val="24"/>
                <w:szCs w:val="24"/>
              </w:rPr>
            </w:pPr>
            <w:r>
              <w:rPr>
                <w:rFonts w:hint="eastAsia" w:ascii="仿宋_GB2312" w:eastAsia="仿宋_GB2312"/>
                <w:b/>
                <w:sz w:val="24"/>
                <w:szCs w:val="24"/>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napToGrid w:val="0"/>
              <w:spacing w:line="240" w:lineRule="atLeast"/>
              <w:jc w:val="center"/>
              <w:rPr>
                <w:rFonts w:eastAsia="仿宋_GB2312"/>
                <w:sz w:val="24"/>
                <w:szCs w:val="24"/>
              </w:rPr>
            </w:pPr>
            <w:r>
              <w:rPr>
                <w:rFonts w:eastAsia="仿宋_GB2312"/>
                <w:sz w:val="24"/>
                <w:szCs w:val="24"/>
              </w:rPr>
              <w:t>Chemical Laboratory Technology化学实验室技术</w:t>
            </w:r>
          </w:p>
        </w:tc>
        <w:tc>
          <w:tcPr>
            <w:tcW w:w="709" w:type="dxa"/>
            <w:vAlign w:val="center"/>
          </w:tcPr>
          <w:p>
            <w:pPr>
              <w:snapToGrid w:val="0"/>
              <w:spacing w:line="240" w:lineRule="atLeast"/>
              <w:jc w:val="center"/>
              <w:rPr>
                <w:rFonts w:eastAsia="仿宋_GB2312"/>
                <w:sz w:val="24"/>
                <w:szCs w:val="24"/>
              </w:rPr>
            </w:pPr>
            <w:r>
              <w:rPr>
                <w:rFonts w:eastAsia="仿宋_GB2312"/>
                <w:sz w:val="24"/>
                <w:szCs w:val="24"/>
              </w:rPr>
              <w:t>1</w:t>
            </w:r>
          </w:p>
        </w:tc>
        <w:tc>
          <w:tcPr>
            <w:tcW w:w="850" w:type="dxa"/>
            <w:vAlign w:val="center"/>
          </w:tcPr>
          <w:p>
            <w:pPr>
              <w:snapToGrid w:val="0"/>
              <w:spacing w:line="240" w:lineRule="atLeast"/>
              <w:jc w:val="center"/>
              <w:rPr>
                <w:rFonts w:eastAsia="仿宋_GB2312"/>
                <w:sz w:val="24"/>
                <w:szCs w:val="24"/>
              </w:rPr>
            </w:pPr>
            <w:r>
              <w:rPr>
                <w:rFonts w:hint="eastAsia" w:ascii="仿宋_GB2312" w:eastAsia="仿宋_GB2312"/>
                <w:sz w:val="24"/>
                <w:szCs w:val="24"/>
              </w:rPr>
              <w:t>≤</w:t>
            </w:r>
            <w:r>
              <w:rPr>
                <w:rFonts w:eastAsia="仿宋_GB2312"/>
                <w:sz w:val="24"/>
                <w:szCs w:val="24"/>
              </w:rPr>
              <w:t>22</w:t>
            </w:r>
          </w:p>
        </w:tc>
        <w:tc>
          <w:tcPr>
            <w:tcW w:w="6927" w:type="dxa"/>
          </w:tcPr>
          <w:p>
            <w:pPr>
              <w:snapToGrid w:val="0"/>
              <w:spacing w:line="520" w:lineRule="exact"/>
              <w:ind w:firstLine="480" w:firstLineChars="200"/>
              <w:rPr>
                <w:rFonts w:eastAsia="仿宋_GB2312"/>
                <w:sz w:val="24"/>
                <w:szCs w:val="24"/>
              </w:rPr>
            </w:pPr>
            <w:r>
              <w:rPr>
                <w:rFonts w:eastAsia="仿宋_GB2312"/>
                <w:sz w:val="24"/>
                <w:szCs w:val="24"/>
              </w:rPr>
              <w:t>实验化学分析通常涉及化学、石油化工、制药、建筑材料、油漆和涂料、高分子材料、国防等不同行业的质量控制部门、研究和开发部门或者环境部门的化学实验室工作。</w:t>
            </w:r>
          </w:p>
          <w:p>
            <w:pPr>
              <w:snapToGrid w:val="0"/>
              <w:spacing w:line="520" w:lineRule="exact"/>
              <w:ind w:firstLine="480" w:firstLineChars="200"/>
              <w:rPr>
                <w:rFonts w:eastAsia="仿宋_GB2312"/>
                <w:sz w:val="24"/>
                <w:szCs w:val="24"/>
              </w:rPr>
            </w:pPr>
            <w:r>
              <w:rPr>
                <w:rFonts w:eastAsia="仿宋_GB2312"/>
                <w:sz w:val="24"/>
                <w:szCs w:val="24"/>
              </w:rPr>
              <w:t>实验化学分析是很多行业产品质量的基础，因此，需要按照原料的特性、工艺流程的中间阶段、直至按照当前标准做出制成品。实验化学分析工作控制了实验室分析、化学测量，并确定化合物的定性分析、化学元素和其化合物比例、数据采集的流程、分析结果的报告和其他相关化学实验室工作。</w:t>
            </w:r>
          </w:p>
          <w:p>
            <w:pPr>
              <w:snapToGrid w:val="0"/>
              <w:spacing w:line="520" w:lineRule="exact"/>
              <w:ind w:firstLine="480" w:firstLineChars="200"/>
              <w:rPr>
                <w:rFonts w:eastAsia="仿宋_GB2312"/>
                <w:sz w:val="24"/>
                <w:szCs w:val="24"/>
              </w:rPr>
            </w:pPr>
            <w:r>
              <w:rPr>
                <w:rFonts w:eastAsia="仿宋_GB2312"/>
                <w:sz w:val="24"/>
                <w:szCs w:val="24"/>
              </w:rPr>
              <w:t>按照标准和规范要求，工作范围和测试的复杂程度取决于雇主制定的任务，该项职业需要掌握知识：自然和工业材料、合成材料、设备和仪器、技术文档和规范。实验化学分析应该能确定并采用最优的工具、分析各种自然物质和化合物质的方法，有条理、成系统地应用现代化学和物理化学方法进行定性和定量分析。此外，还应该遵照卫生清洁要求，并符合职业安全健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5" w:hRule="atLeast"/>
          <w:jc w:val="center"/>
        </w:trPr>
        <w:tc>
          <w:tcPr>
            <w:tcW w:w="1384" w:type="dxa"/>
            <w:vAlign w:val="center"/>
          </w:tcPr>
          <w:p>
            <w:pPr>
              <w:snapToGrid w:val="0"/>
              <w:spacing w:line="240" w:lineRule="atLeast"/>
              <w:jc w:val="center"/>
              <w:rPr>
                <w:rFonts w:eastAsia="仿宋_GB2312"/>
                <w:sz w:val="24"/>
                <w:szCs w:val="24"/>
              </w:rPr>
            </w:pPr>
            <w:r>
              <w:rPr>
                <w:rFonts w:eastAsia="仿宋_GB2312"/>
                <w:sz w:val="24"/>
                <w:szCs w:val="24"/>
              </w:rPr>
              <w:t>Cloud Computing</w:t>
            </w:r>
          </w:p>
          <w:p>
            <w:pPr>
              <w:snapToGrid w:val="0"/>
              <w:spacing w:line="240" w:lineRule="atLeast"/>
              <w:jc w:val="center"/>
              <w:rPr>
                <w:rFonts w:eastAsia="仿宋_GB2312"/>
                <w:sz w:val="24"/>
                <w:szCs w:val="24"/>
              </w:rPr>
            </w:pPr>
            <w:r>
              <w:rPr>
                <w:rFonts w:eastAsia="仿宋_GB2312"/>
                <w:sz w:val="24"/>
                <w:szCs w:val="24"/>
              </w:rPr>
              <w:t>云计算</w:t>
            </w:r>
          </w:p>
        </w:tc>
        <w:tc>
          <w:tcPr>
            <w:tcW w:w="709" w:type="dxa"/>
            <w:vAlign w:val="center"/>
          </w:tcPr>
          <w:p>
            <w:pPr>
              <w:snapToGrid w:val="0"/>
              <w:spacing w:line="240" w:lineRule="atLeast"/>
              <w:jc w:val="center"/>
              <w:rPr>
                <w:rFonts w:eastAsia="仿宋_GB2312"/>
                <w:sz w:val="24"/>
                <w:szCs w:val="24"/>
              </w:rPr>
            </w:pPr>
            <w:r>
              <w:rPr>
                <w:rFonts w:eastAsia="仿宋_GB2312"/>
                <w:sz w:val="24"/>
                <w:szCs w:val="24"/>
              </w:rPr>
              <w:t>1</w:t>
            </w:r>
          </w:p>
        </w:tc>
        <w:tc>
          <w:tcPr>
            <w:tcW w:w="850" w:type="dxa"/>
            <w:vAlign w:val="center"/>
          </w:tcPr>
          <w:p>
            <w:pPr>
              <w:snapToGrid w:val="0"/>
              <w:spacing w:line="240" w:lineRule="atLeast"/>
              <w:jc w:val="center"/>
              <w:rPr>
                <w:rFonts w:eastAsia="仿宋_GB2312"/>
                <w:sz w:val="24"/>
                <w:szCs w:val="24"/>
              </w:rPr>
            </w:pPr>
            <w:r>
              <w:rPr>
                <w:rFonts w:hint="eastAsia" w:ascii="仿宋_GB2312" w:eastAsia="仿宋_GB2312"/>
                <w:sz w:val="24"/>
                <w:szCs w:val="24"/>
              </w:rPr>
              <w:t>≤</w:t>
            </w:r>
            <w:r>
              <w:rPr>
                <w:rFonts w:eastAsia="仿宋_GB2312"/>
                <w:sz w:val="24"/>
                <w:szCs w:val="24"/>
              </w:rPr>
              <w:t>25</w:t>
            </w:r>
          </w:p>
        </w:tc>
        <w:tc>
          <w:tcPr>
            <w:tcW w:w="6927" w:type="dxa"/>
          </w:tcPr>
          <w:p>
            <w:pPr>
              <w:snapToGrid w:val="0"/>
              <w:spacing w:line="440" w:lineRule="exact"/>
              <w:ind w:firstLine="480" w:firstLineChars="200"/>
              <w:rPr>
                <w:rFonts w:eastAsia="仿宋_GB2312"/>
                <w:sz w:val="24"/>
                <w:szCs w:val="24"/>
              </w:rPr>
            </w:pPr>
            <w:r>
              <w:rPr>
                <w:rFonts w:eastAsia="仿宋_GB2312"/>
                <w:sz w:val="24"/>
                <w:szCs w:val="24"/>
              </w:rPr>
              <w:t>云计算从业人员负责在公共云环境中设计并实现信息技术基础架构。其工作角色可以跨越多个工作任务，包括系统管理员/工程师，数据库管理员，网络管理员/工程师，存储管理员/工程师，系统/网络/解决方案/企业架构师，程序员/开发人员以及类似高技术为主的工作，需要负责基础架构设计的业务和工作。由于公共云服务提供商不断扩展的功能，此相关基础架构专家列表也在不断扩展，主要包括：</w:t>
            </w:r>
          </w:p>
          <w:p>
            <w:pPr>
              <w:snapToGrid w:val="0"/>
              <w:spacing w:line="440" w:lineRule="exact"/>
              <w:ind w:firstLine="480" w:firstLineChars="200"/>
              <w:rPr>
                <w:rFonts w:eastAsia="仿宋_GB2312"/>
                <w:sz w:val="24"/>
                <w:szCs w:val="24"/>
              </w:rPr>
            </w:pPr>
            <w:r>
              <w:rPr>
                <w:rFonts w:eastAsia="仿宋_GB2312"/>
                <w:sz w:val="24"/>
                <w:szCs w:val="24"/>
              </w:rPr>
              <w:t>1.基础设施架构师。负责系统、应用程序部署的总体设计和方向。2.系统管理员/工程师。利用公共云提供商来实现自动化、扩展、优化、简化和加速他们的部署模型。3.数据库管理员。紧密地与公共云提供商合作，控制部署的细节，他们能够按需使用资源。此外，他们还可以使用云提供程序的高级功能，如托管数据库服务，用于缓存，关系数据库和NoSQL数据解决方案。4.存储管理员。可以灵活地扩展存储需求，利用云供应商或供应商第三方合作伙伴提供的多种存储产品，提供解决方案，构建最适合其存储需求的解决方案，以提供可扩展，高可用性的主要和灾难恢复存储解决方案。例如实施备份、部署共享和集群存储解决方案、系统快照和数据迁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napToGrid w:val="0"/>
              <w:spacing w:line="240" w:lineRule="atLeast"/>
              <w:jc w:val="center"/>
              <w:rPr>
                <w:rFonts w:eastAsia="仿宋_GB2312"/>
                <w:sz w:val="24"/>
                <w:szCs w:val="24"/>
              </w:rPr>
            </w:pPr>
            <w:r>
              <w:rPr>
                <w:rFonts w:eastAsia="仿宋_GB2312"/>
                <w:sz w:val="24"/>
                <w:szCs w:val="24"/>
              </w:rPr>
              <w:t>Cyber Security</w:t>
            </w:r>
          </w:p>
          <w:p>
            <w:pPr>
              <w:snapToGrid w:val="0"/>
              <w:spacing w:line="240" w:lineRule="atLeast"/>
              <w:jc w:val="center"/>
              <w:rPr>
                <w:rFonts w:eastAsia="仿宋_GB2312"/>
                <w:sz w:val="24"/>
                <w:szCs w:val="24"/>
              </w:rPr>
            </w:pPr>
            <w:r>
              <w:rPr>
                <w:rFonts w:eastAsia="仿宋_GB2312"/>
                <w:sz w:val="24"/>
                <w:szCs w:val="24"/>
              </w:rPr>
              <w:t>网络安全</w:t>
            </w:r>
          </w:p>
        </w:tc>
        <w:tc>
          <w:tcPr>
            <w:tcW w:w="709" w:type="dxa"/>
            <w:vAlign w:val="center"/>
          </w:tcPr>
          <w:p>
            <w:pPr>
              <w:snapToGrid w:val="0"/>
              <w:spacing w:line="240" w:lineRule="atLeast"/>
              <w:jc w:val="center"/>
              <w:rPr>
                <w:rFonts w:eastAsia="仿宋_GB2312"/>
                <w:sz w:val="24"/>
                <w:szCs w:val="24"/>
              </w:rPr>
            </w:pPr>
            <w:r>
              <w:rPr>
                <w:rFonts w:eastAsia="仿宋_GB2312"/>
                <w:sz w:val="24"/>
                <w:szCs w:val="24"/>
              </w:rPr>
              <w:t>2</w:t>
            </w:r>
          </w:p>
        </w:tc>
        <w:tc>
          <w:tcPr>
            <w:tcW w:w="850" w:type="dxa"/>
            <w:vAlign w:val="center"/>
          </w:tcPr>
          <w:p>
            <w:pPr>
              <w:snapToGrid w:val="0"/>
              <w:spacing w:line="240" w:lineRule="atLeast"/>
              <w:jc w:val="center"/>
              <w:rPr>
                <w:rFonts w:eastAsia="仿宋_GB2312"/>
                <w:sz w:val="24"/>
                <w:szCs w:val="24"/>
              </w:rPr>
            </w:pPr>
            <w:r>
              <w:rPr>
                <w:rFonts w:hint="eastAsia" w:ascii="仿宋_GB2312" w:eastAsia="仿宋_GB2312"/>
                <w:sz w:val="24"/>
                <w:szCs w:val="24"/>
              </w:rPr>
              <w:t>≤</w:t>
            </w:r>
            <w:r>
              <w:rPr>
                <w:rFonts w:eastAsia="仿宋_GB2312"/>
                <w:sz w:val="24"/>
                <w:szCs w:val="24"/>
              </w:rPr>
              <w:t>25</w:t>
            </w:r>
          </w:p>
        </w:tc>
        <w:tc>
          <w:tcPr>
            <w:tcW w:w="6927" w:type="dxa"/>
          </w:tcPr>
          <w:p>
            <w:pPr>
              <w:snapToGrid w:val="0"/>
              <w:spacing w:line="440" w:lineRule="exact"/>
              <w:ind w:firstLine="480" w:firstLineChars="200"/>
              <w:rPr>
                <w:rFonts w:eastAsia="仿宋_GB2312"/>
                <w:sz w:val="24"/>
                <w:szCs w:val="24"/>
              </w:rPr>
            </w:pPr>
            <w:r>
              <w:rPr>
                <w:rFonts w:eastAsia="仿宋_GB2312"/>
                <w:sz w:val="24"/>
                <w:szCs w:val="24"/>
              </w:rPr>
              <w:t>网络安全专业人员/信息安全分析师致力于保护组织的计算机系统网络，防止黑客访问或窃取敏感信息和数据。信息安全分析师的工作通常涉及安装防火墙和数据加密软件以保护机密信息。监控组织的网络是否存在安全漏洞，并在发生违规时调查违规行为。信息安全分析师还可以进行渗透测试，即在他们模拟攻击以在其被利用之前查找其网络中的漏洞时。</w:t>
            </w:r>
          </w:p>
          <w:p>
            <w:pPr>
              <w:snapToGrid w:val="0"/>
              <w:spacing w:line="440" w:lineRule="exact"/>
              <w:ind w:firstLine="480" w:firstLineChars="200"/>
              <w:rPr>
                <w:rFonts w:eastAsia="仿宋_GB2312"/>
                <w:sz w:val="24"/>
                <w:szCs w:val="24"/>
              </w:rPr>
            </w:pPr>
            <w:r>
              <w:rPr>
                <w:rFonts w:eastAsia="仿宋_GB2312"/>
                <w:sz w:val="24"/>
                <w:szCs w:val="24"/>
              </w:rPr>
              <w:t>信息安全分析师还经常参与制定和执行其组织的灾难恢复计划，该计划描述了在灾难或攻击后恢复机构的计算机网络系统和网络正常功能的步骤和程序。该计划通常包括预防性措施，例如定期备份数据并将数据传输到场外地点。</w:t>
            </w:r>
          </w:p>
          <w:p>
            <w:pPr>
              <w:snapToGrid w:val="0"/>
              <w:spacing w:line="440" w:lineRule="exact"/>
              <w:ind w:firstLine="480" w:firstLineChars="200"/>
              <w:rPr>
                <w:rFonts w:eastAsia="仿宋_GB2312"/>
                <w:sz w:val="24"/>
                <w:szCs w:val="24"/>
              </w:rPr>
            </w:pPr>
            <w:r>
              <w:rPr>
                <w:rFonts w:eastAsia="仿宋_GB2312"/>
                <w:sz w:val="24"/>
                <w:szCs w:val="24"/>
              </w:rPr>
              <w:t>信息安全分析师必须保持自己的知识和技能的最新状态，比潜在的网络黑客/攻击者领先一步。他们需要及时了解攻击者用于渗透计算机系统的最新方法，以及可以帮助他们的公司应对这些威胁的新安全技术。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snapToGrid w:val="0"/>
              <w:spacing w:line="240" w:lineRule="atLeast"/>
              <w:jc w:val="center"/>
              <w:rPr>
                <w:rFonts w:eastAsia="仿宋_GB2312"/>
                <w:sz w:val="24"/>
                <w:szCs w:val="24"/>
              </w:rPr>
            </w:pPr>
            <w:r>
              <w:rPr>
                <w:rFonts w:eastAsia="仿宋_GB2312"/>
                <w:sz w:val="24"/>
                <w:szCs w:val="24"/>
              </w:rPr>
              <w:t>Hotel Reception/</w:t>
            </w:r>
          </w:p>
          <w:p>
            <w:pPr>
              <w:snapToGrid w:val="0"/>
              <w:spacing w:line="240" w:lineRule="atLeast"/>
              <w:jc w:val="center"/>
              <w:rPr>
                <w:rFonts w:eastAsia="仿宋_GB2312"/>
                <w:sz w:val="24"/>
                <w:szCs w:val="24"/>
              </w:rPr>
            </w:pPr>
            <w:r>
              <w:rPr>
                <w:rFonts w:eastAsia="仿宋_GB2312"/>
                <w:sz w:val="24"/>
                <w:szCs w:val="24"/>
              </w:rPr>
              <w:t>酒店接待</w:t>
            </w:r>
          </w:p>
        </w:tc>
        <w:tc>
          <w:tcPr>
            <w:tcW w:w="709" w:type="dxa"/>
            <w:vAlign w:val="center"/>
          </w:tcPr>
          <w:p>
            <w:pPr>
              <w:snapToGrid w:val="0"/>
              <w:spacing w:line="240" w:lineRule="atLeast"/>
              <w:jc w:val="center"/>
              <w:rPr>
                <w:rFonts w:eastAsia="仿宋_GB2312"/>
                <w:sz w:val="24"/>
                <w:szCs w:val="24"/>
              </w:rPr>
            </w:pPr>
            <w:r>
              <w:rPr>
                <w:rFonts w:eastAsia="仿宋_GB2312"/>
                <w:sz w:val="24"/>
                <w:szCs w:val="24"/>
              </w:rPr>
              <w:t>1</w:t>
            </w:r>
          </w:p>
        </w:tc>
        <w:tc>
          <w:tcPr>
            <w:tcW w:w="850" w:type="dxa"/>
            <w:vAlign w:val="center"/>
          </w:tcPr>
          <w:p>
            <w:pPr>
              <w:snapToGrid w:val="0"/>
              <w:spacing w:line="240" w:lineRule="atLeast"/>
              <w:jc w:val="center"/>
              <w:rPr>
                <w:rFonts w:eastAsia="仿宋_GB2312"/>
                <w:sz w:val="24"/>
                <w:szCs w:val="24"/>
              </w:rPr>
            </w:pPr>
            <w:r>
              <w:rPr>
                <w:rFonts w:hint="eastAsia" w:ascii="仿宋_GB2312" w:eastAsia="仿宋_GB2312"/>
                <w:sz w:val="24"/>
                <w:szCs w:val="24"/>
              </w:rPr>
              <w:t>≤</w:t>
            </w:r>
            <w:r>
              <w:rPr>
                <w:rFonts w:eastAsia="仿宋_GB2312"/>
                <w:sz w:val="24"/>
                <w:szCs w:val="24"/>
              </w:rPr>
              <w:t>22</w:t>
            </w:r>
          </w:p>
        </w:tc>
        <w:tc>
          <w:tcPr>
            <w:tcW w:w="6927" w:type="dxa"/>
          </w:tcPr>
          <w:p>
            <w:pPr>
              <w:snapToGrid w:val="0"/>
              <w:spacing w:line="440" w:lineRule="exact"/>
              <w:ind w:firstLine="480" w:firstLineChars="200"/>
              <w:rPr>
                <w:rFonts w:eastAsia="仿宋_GB2312"/>
                <w:sz w:val="24"/>
                <w:szCs w:val="24"/>
              </w:rPr>
            </w:pPr>
            <w:r>
              <w:rPr>
                <w:rFonts w:eastAsia="仿宋_GB2312"/>
                <w:sz w:val="24"/>
                <w:szCs w:val="24"/>
              </w:rPr>
              <w:t>酒店为来自世界各地的客人提供住宿和相关服务。酒店可能是国际连锁酒店的一部分，为常客提供一致的和熟悉的服务。或者，他们可以根据他们所在不同的地点、历史、建筑和目标客户，而具有不同的特点。质量和价格一般相对应。</w:t>
            </w:r>
          </w:p>
          <w:p>
            <w:pPr>
              <w:snapToGrid w:val="0"/>
              <w:spacing w:line="440" w:lineRule="exact"/>
              <w:ind w:firstLine="480" w:firstLineChars="200"/>
              <w:rPr>
                <w:rFonts w:eastAsia="仿宋_GB2312"/>
                <w:sz w:val="24"/>
                <w:szCs w:val="24"/>
              </w:rPr>
            </w:pPr>
            <w:r>
              <w:rPr>
                <w:rFonts w:eastAsia="仿宋_GB2312"/>
                <w:sz w:val="24"/>
                <w:szCs w:val="24"/>
              </w:rPr>
              <w:t>酒店接待员的角色是每个酒店的关键。在酒店的接待区，客人可以获得对酒店的第一印象，以及他们的酒店体验。这是与酒店员工建立沟通的地方。服务的质量、礼貌和及时性可以对客人与酒店的关系以及他们在居住期间的满意度产生积极或消极的巨大差异。反之，客人的满意度又影响了酒店的声誉和回头率。</w:t>
            </w:r>
          </w:p>
          <w:p>
            <w:pPr>
              <w:snapToGrid w:val="0"/>
              <w:spacing w:line="440" w:lineRule="exact"/>
              <w:ind w:firstLine="480" w:firstLineChars="200"/>
              <w:rPr>
                <w:rFonts w:eastAsia="仿宋_GB2312"/>
                <w:sz w:val="24"/>
                <w:szCs w:val="24"/>
              </w:rPr>
            </w:pPr>
            <w:r>
              <w:rPr>
                <w:rFonts w:eastAsia="仿宋_GB2312"/>
                <w:sz w:val="24"/>
                <w:szCs w:val="24"/>
              </w:rPr>
              <w:t>酒店接待员主要在酒店的前台工作。需要持续的使用各种技能。这些可能包括对当地和通用旅游信息的知识、良好的口头和书面英语、计算机知识、良好的礼仪和行为和穿着、良好的沟通和社交技巧、解决问题、数字和现金处理的能力，以及预订程序的应用、接待、客户服务和退房。</w:t>
            </w:r>
          </w:p>
        </w:tc>
      </w:tr>
    </w:tbl>
    <w:p>
      <w:pPr>
        <w:jc w:val="left"/>
      </w:pPr>
      <w:r>
        <w:rPr>
          <w:rFonts w:eastAsia="仿宋_GB2312"/>
          <w:sz w:val="24"/>
          <w:szCs w:val="24"/>
        </w:rPr>
        <w:t>注：此简介以WSI公布的相关项目技术描述为依据简要编写，由非专业人员翻译，仅供参考。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B7"/>
    <w:rsid w:val="00517F4D"/>
    <w:rsid w:val="00730608"/>
    <w:rsid w:val="0098030E"/>
    <w:rsid w:val="00AF46B7"/>
    <w:rsid w:val="5AFE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268</Words>
  <Characters>1528</Characters>
  <Lines>12</Lines>
  <Paragraphs>3</Paragraphs>
  <TotalTime>1</TotalTime>
  <ScaleCrop>false</ScaleCrop>
  <LinksUpToDate>false</LinksUpToDate>
  <CharactersWithSpaces>1793</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2018-12-05T03:00:00Z</dcterms:created>
  <dc:creator>马 彦飞</dc:creator>
  <cp:lastModifiedBy>Administrator</cp:lastModifiedBy>
  <dcterms:modified xsi:type="dcterms:W3CDTF">2018-12-05T05:51:59Z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