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Style w:val="7"/>
          <w:rFonts w:ascii="黑体" w:hAnsi="黑体" w:eastAsia="黑体" w:cs="黑体"/>
          <w:sz w:val="44"/>
          <w:szCs w:val="44"/>
        </w:rPr>
      </w:pPr>
      <w:r>
        <w:rPr>
          <w:rFonts w:hint="eastAsia" w:ascii="黑体" w:hAnsi="黑体" w:eastAsia="黑体" w:cs="黑体"/>
          <w:bCs/>
          <w:spacing w:val="15"/>
          <w:sz w:val="44"/>
          <w:szCs w:val="44"/>
        </w:rPr>
        <w:t xml:space="preserve"> 台州技师学院（筹）2021年部门（单位）预算</w:t>
      </w:r>
    </w:p>
    <w:p>
      <w:pPr>
        <w:spacing w:line="300" w:lineRule="auto"/>
        <w:ind w:firstLine="866" w:firstLineChars="196"/>
        <w:rPr>
          <w:rStyle w:val="7"/>
          <w:rFonts w:ascii="宋体"/>
          <w:color w:val="000000"/>
          <w:sz w:val="44"/>
          <w:szCs w:val="44"/>
        </w:rPr>
      </w:pPr>
    </w:p>
    <w:p>
      <w:pPr>
        <w:snapToGrid w:val="0"/>
        <w:spacing w:line="360" w:lineRule="auto"/>
        <w:ind w:firstLine="630" w:firstLineChars="196"/>
        <w:rPr>
          <w:rStyle w:val="7"/>
          <w:rFonts w:ascii="黑体" w:eastAsia="黑体"/>
          <w:b w:val="0"/>
          <w:color w:val="000000"/>
          <w:sz w:val="32"/>
          <w:szCs w:val="32"/>
        </w:rPr>
      </w:pPr>
      <w:r>
        <w:rPr>
          <w:rStyle w:val="7"/>
          <w:rFonts w:hint="eastAsia" w:ascii="黑体" w:eastAsia="黑体"/>
          <w:color w:val="000000"/>
          <w:sz w:val="32"/>
          <w:szCs w:val="32"/>
        </w:rPr>
        <w:t>一、台州技师学院（筹）概况</w:t>
      </w:r>
    </w:p>
    <w:p>
      <w:pPr>
        <w:snapToGrid w:val="0"/>
        <w:spacing w:line="360" w:lineRule="auto"/>
        <w:ind w:firstLine="630" w:firstLineChars="196"/>
        <w:rPr>
          <w:rFonts w:ascii="楷体_GB2312" w:eastAsia="楷体_GB2312"/>
          <w:b/>
        </w:rPr>
      </w:pPr>
      <w:r>
        <w:rPr>
          <w:rFonts w:hint="eastAsia" w:ascii="楷体_GB2312" w:eastAsia="楷体_GB2312"/>
          <w:b/>
          <w:bCs/>
          <w:sz w:val="32"/>
          <w:szCs w:val="32"/>
        </w:rPr>
        <w:t>（一）主要职能</w:t>
      </w:r>
    </w:p>
    <w:p>
      <w:pPr>
        <w:snapToGrid w:val="0"/>
        <w:spacing w:line="360" w:lineRule="auto"/>
        <w:ind w:firstLine="627" w:firstLineChars="196"/>
      </w:pPr>
      <w:r>
        <w:rPr>
          <w:rFonts w:ascii="仿宋_GB2312" w:eastAsia="仿宋_GB2312"/>
          <w:bCs/>
          <w:sz w:val="32"/>
          <w:szCs w:val="32"/>
        </w:rPr>
        <w:t>1.</w:t>
      </w:r>
      <w:r>
        <w:rPr>
          <w:rFonts w:hint="eastAsia" w:ascii="仿宋_GB2312" w:eastAsia="仿宋_GB2312"/>
          <w:bCs/>
          <w:sz w:val="32"/>
          <w:szCs w:val="32"/>
        </w:rPr>
        <w:t>学院是国家人力资源和社会保障系统高技能人才培养培训的机构，也是国家高等职业教育重要组成部分；</w:t>
      </w:r>
    </w:p>
    <w:p>
      <w:pPr>
        <w:snapToGrid w:val="0"/>
        <w:spacing w:line="360" w:lineRule="auto"/>
        <w:ind w:firstLine="627" w:firstLineChars="196"/>
        <w:rPr>
          <w:rFonts w:ascii="仿宋_GB2312" w:eastAsia="仿宋_GB2312"/>
          <w:bCs/>
          <w:sz w:val="32"/>
          <w:szCs w:val="32"/>
        </w:rPr>
      </w:pPr>
      <w:r>
        <w:rPr>
          <w:rFonts w:hint="eastAsia" w:ascii="仿宋_GB2312" w:eastAsia="仿宋_GB2312"/>
          <w:bCs/>
          <w:sz w:val="32"/>
          <w:szCs w:val="32"/>
        </w:rPr>
        <w:t>2.学院通过学制教育，培养培训高级工或技师层次的专业人才；</w:t>
      </w:r>
    </w:p>
    <w:p>
      <w:pPr>
        <w:snapToGrid w:val="0"/>
        <w:spacing w:line="360" w:lineRule="auto"/>
        <w:ind w:firstLine="627" w:firstLineChars="196"/>
        <w:rPr>
          <w:rFonts w:ascii="仿宋_GB2312" w:eastAsia="仿宋_GB2312"/>
          <w:bCs/>
          <w:sz w:val="32"/>
          <w:szCs w:val="32"/>
        </w:rPr>
      </w:pPr>
      <w:r>
        <w:rPr>
          <w:rFonts w:hint="eastAsia" w:ascii="仿宋_GB2312" w:eastAsia="仿宋_GB2312"/>
          <w:bCs/>
          <w:sz w:val="32"/>
          <w:szCs w:val="32"/>
        </w:rPr>
        <w:t>3.面向社会和企业开展技能培训、订单培养和新型学徒制等多形式的办学。</w:t>
      </w:r>
    </w:p>
    <w:p>
      <w:pPr>
        <w:snapToGrid w:val="0"/>
        <w:spacing w:line="360" w:lineRule="auto"/>
        <w:ind w:firstLine="630" w:firstLineChars="196"/>
        <w:rPr>
          <w:rFonts w:ascii="楷体_GB2312" w:eastAsia="楷体_GB2312"/>
          <w:b/>
          <w:bCs/>
          <w:sz w:val="32"/>
          <w:szCs w:val="32"/>
        </w:rPr>
      </w:pPr>
      <w:r>
        <w:rPr>
          <w:rFonts w:hint="eastAsia" w:ascii="楷体_GB2312" w:eastAsia="楷体_GB2312"/>
          <w:b/>
          <w:bCs/>
          <w:sz w:val="32"/>
          <w:szCs w:val="32"/>
        </w:rPr>
        <w:t>（二）部门预算单位构成（单位内部机构设置）</w:t>
      </w:r>
    </w:p>
    <w:p>
      <w:pPr>
        <w:snapToGrid w:val="0"/>
        <w:spacing w:line="360" w:lineRule="auto"/>
        <w:ind w:firstLine="627" w:firstLineChars="196"/>
        <w:rPr>
          <w:rFonts w:ascii="楷体_GB2312" w:hAnsi="楷体_GB2312" w:eastAsia="仿宋_GB2312" w:cs="楷体_GB2312"/>
          <w:b/>
          <w:color w:val="000000"/>
          <w:sz w:val="32"/>
          <w:szCs w:val="32"/>
        </w:rPr>
      </w:pPr>
      <w:r>
        <w:rPr>
          <w:rFonts w:hint="eastAsia" w:ascii="仿宋_GB2312" w:eastAsia="仿宋_GB2312"/>
          <w:bCs/>
          <w:sz w:val="32"/>
          <w:szCs w:val="32"/>
        </w:rPr>
        <w:t>本单位内设办公室、组织人事处、教务处、学生处（招生与就业指导处）、后勤管理处（财务处）5个职能部门，实训与培训中心和技能教育研究所（德国技术证书中心）2个教辅机构，中德智造学院1个教学机构，下设先进制造教研室、自动化教研室、现代服务业教研室、车辆工程教研室、建筑教研室、医药教研室、公共课教研室和思政教研室共8个教研室。</w:t>
      </w:r>
    </w:p>
    <w:p>
      <w:pPr>
        <w:snapToGrid w:val="0"/>
        <w:spacing w:line="360" w:lineRule="auto"/>
        <w:ind w:firstLine="643" w:firstLineChars="200"/>
        <w:rPr>
          <w:rFonts w:ascii="楷体_GB2312" w:hAnsi="楷体_GB2312" w:eastAsia="楷体_GB2312" w:cs="楷体_GB2312"/>
          <w:b/>
          <w:color w:val="000000"/>
          <w:sz w:val="32"/>
          <w:szCs w:val="32"/>
        </w:rPr>
      </w:pPr>
      <w:r>
        <w:rPr>
          <w:rStyle w:val="7"/>
          <w:rFonts w:hint="eastAsia" w:ascii="黑体" w:eastAsia="黑体"/>
          <w:color w:val="000000"/>
          <w:sz w:val="32"/>
          <w:szCs w:val="32"/>
        </w:rPr>
        <w:t>二、台州技师学院（筹）2021年部门（单位）预算安排情况说明</w:t>
      </w:r>
      <w:r>
        <w:rPr>
          <w:rStyle w:val="7"/>
          <w:rFonts w:hint="eastAsia" w:ascii="黑体" w:eastAsia="黑体"/>
          <w:color w:val="000000"/>
          <w:sz w:val="32"/>
          <w:szCs w:val="32"/>
        </w:rPr>
        <w:br w:type="textWrapping"/>
      </w:r>
      <w:r>
        <w:rPr>
          <w:rFonts w:hint="eastAsia" w:ascii="仿宋_GB2312" w:eastAsia="仿宋_GB2312"/>
          <w:color w:val="000000"/>
          <w:sz w:val="30"/>
          <w:szCs w:val="30"/>
        </w:rPr>
        <w:t>　　</w:t>
      </w:r>
      <w:r>
        <w:rPr>
          <w:rFonts w:hint="eastAsia" w:ascii="楷体_GB2312" w:hAnsi="楷体_GB2312" w:eastAsia="楷体_GB2312" w:cs="楷体_GB2312"/>
          <w:b/>
          <w:color w:val="000000"/>
          <w:sz w:val="32"/>
          <w:szCs w:val="32"/>
        </w:rPr>
        <w:t>（一）关于台州</w:t>
      </w:r>
      <w:r>
        <w:rPr>
          <w:rStyle w:val="7"/>
          <w:rFonts w:hint="eastAsia" w:ascii="楷体_GB2312" w:hAnsi="楷体_GB2312" w:eastAsia="楷体_GB2312" w:cs="楷体_GB2312"/>
          <w:color w:val="000000"/>
          <w:sz w:val="32"/>
          <w:szCs w:val="32"/>
        </w:rPr>
        <w:t>技师学院（筹）2021年收支预算情况的总体说明</w:t>
      </w:r>
    </w:p>
    <w:p>
      <w:pPr>
        <w:snapToGrid w:val="0"/>
        <w:spacing w:line="360" w:lineRule="auto"/>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 xml:space="preserve">   </w:t>
      </w:r>
      <w:r>
        <w:rPr>
          <w:rFonts w:ascii="仿宋_GB2312" w:eastAsia="仿宋_GB2312"/>
          <w:bCs/>
          <w:color w:val="000000"/>
          <w:sz w:val="32"/>
          <w:szCs w:val="32"/>
        </w:rPr>
        <w:t xml:space="preserve"> </w:t>
      </w:r>
      <w:r>
        <w:rPr>
          <w:rFonts w:hint="eastAsia" w:ascii="仿宋_GB2312" w:eastAsia="仿宋_GB2312"/>
          <w:bCs/>
          <w:color w:val="000000"/>
          <w:sz w:val="32"/>
          <w:szCs w:val="32"/>
        </w:rPr>
        <w:t>按照</w:t>
      </w:r>
      <w:r>
        <w:rPr>
          <w:rFonts w:hint="eastAsia" w:ascii="仿宋_GB2312" w:eastAsia="仿宋_GB2312"/>
          <w:bCs/>
          <w:sz w:val="32"/>
          <w:szCs w:val="32"/>
        </w:rPr>
        <w:t>综合预算的原则，</w:t>
      </w:r>
      <w:r>
        <w:rPr>
          <w:rFonts w:hint="eastAsia" w:ascii="仿宋_GB2312" w:eastAsia="仿宋_GB2312"/>
          <w:color w:val="000000"/>
          <w:sz w:val="32"/>
          <w:szCs w:val="32"/>
        </w:rPr>
        <w:t>台州技师学院（筹）所有收入和支出均纳入部门（</w:t>
      </w:r>
      <w:r>
        <w:rPr>
          <w:rFonts w:hint="eastAsia" w:ascii="仿宋_GB2312" w:eastAsia="仿宋_GB2312"/>
          <w:bCs/>
          <w:sz w:val="32"/>
          <w:szCs w:val="32"/>
        </w:rPr>
        <w:t>单位）</w:t>
      </w:r>
      <w:r>
        <w:rPr>
          <w:rFonts w:hint="eastAsia" w:ascii="仿宋_GB2312" w:eastAsia="仿宋_GB2312"/>
          <w:color w:val="000000"/>
          <w:sz w:val="32"/>
          <w:szCs w:val="32"/>
        </w:rPr>
        <w:t>预算管理。收入包括：一般公共预算拨款收入、政府性基金预算收入、事业单位经营收入；支出包括：教育支出、社会保障和就业支出、卫生健康支出、城乡社区支出、住房保障支出。台州技师学院（筹）2021年收支总预算28042.78万元。</w:t>
      </w:r>
    </w:p>
    <w:p>
      <w:pPr>
        <w:snapToGrid w:val="0"/>
        <w:spacing w:line="360" w:lineRule="auto"/>
        <w:ind w:firstLine="64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（二）关于台州技师学院（筹）2021年收入预算情况说明</w:t>
      </w:r>
    </w:p>
    <w:p>
      <w:pPr>
        <w:snapToGrid w:val="0"/>
        <w:spacing w:line="360" w:lineRule="auto"/>
        <w:ind w:firstLine="642"/>
        <w:rPr>
          <w:rFonts w:ascii="仿宋_GB2312" w:eastAsia="仿宋_GB2312"/>
          <w:b/>
          <w:bCs/>
          <w:color w:val="000000"/>
          <w:sz w:val="32"/>
          <w:szCs w:val="32"/>
        </w:rPr>
      </w:pPr>
      <w:r>
        <w:rPr>
          <w:rFonts w:hint="eastAsia" w:ascii="仿宋_GB2312" w:eastAsia="仿宋_GB2312"/>
          <w:color w:val="000000"/>
          <w:sz w:val="32"/>
          <w:szCs w:val="32"/>
        </w:rPr>
        <w:t>台州技师学院（筹）2021年收入预算28042.78万元，其中：一般公共预算拨款收入4504.78万元，占16.06%；政府性基金收入22500万元，占80.24%；事业单位经营收入1038万元，占3.7%</w:t>
      </w:r>
      <w:r>
        <w:rPr>
          <w:rFonts w:hint="eastAsia" w:ascii="仿宋_GB2312" w:eastAsia="仿宋_GB2312"/>
          <w:b/>
          <w:bCs/>
          <w:color w:val="000000"/>
          <w:sz w:val="32"/>
          <w:szCs w:val="32"/>
        </w:rPr>
        <w:t>。</w:t>
      </w:r>
    </w:p>
    <w:p>
      <w:pPr>
        <w:snapToGrid w:val="0"/>
        <w:spacing w:line="360" w:lineRule="auto"/>
        <w:ind w:firstLine="642"/>
        <w:rPr>
          <w:rFonts w:ascii="仿宋_GB2312" w:eastAsia="仿宋_GB2312"/>
          <w:color w:val="000000"/>
          <w:sz w:val="32"/>
          <w:szCs w:val="32"/>
        </w:rPr>
      </w:pPr>
      <w:r>
        <w:rPr>
          <w:rFonts w:hint="eastAsia" w:ascii="楷体_GB2312" w:hAnsi="楷体_GB2312" w:eastAsia="楷体_GB2312" w:cs="楷体_GB2312"/>
          <w:b/>
          <w:color w:val="000000"/>
          <w:sz w:val="32"/>
          <w:szCs w:val="32"/>
        </w:rPr>
        <w:t>（三）关于台州技师学院（筹）2021年支出预算情况说明</w:t>
      </w:r>
      <w:r>
        <w:rPr>
          <w:rFonts w:hint="eastAsia" w:ascii="楷体_GB2312" w:hAnsi="楷体_GB2312" w:eastAsia="楷体_GB2312" w:cs="楷体_GB2312"/>
          <w:b/>
          <w:color w:val="000000"/>
          <w:sz w:val="32"/>
          <w:szCs w:val="32"/>
        </w:rPr>
        <w:br w:type="textWrapping"/>
      </w:r>
      <w:r>
        <w:rPr>
          <w:rFonts w:hint="eastAsia" w:ascii="仿宋_GB2312" w:eastAsia="仿宋_GB2312"/>
          <w:color w:val="000000"/>
          <w:sz w:val="32"/>
          <w:szCs w:val="32"/>
        </w:rPr>
        <w:t>　　台州技师学院（筹）2021年支出预算28042.78万元。</w:t>
      </w:r>
    </w:p>
    <w:p>
      <w:pPr>
        <w:snapToGrid w:val="0"/>
        <w:spacing w:line="360" w:lineRule="auto"/>
        <w:ind w:firstLine="63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按支出功能分类，包括教育支出4849.39万元、社会保障和就业支出336.24万元、卫生健康支出128.24万元、城乡社区支出22500万元、住房保障支出228.91万元。</w:t>
      </w:r>
    </w:p>
    <w:p>
      <w:pPr>
        <w:snapToGrid w:val="0"/>
        <w:spacing w:line="360" w:lineRule="auto"/>
        <w:ind w:firstLine="63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按支出用途分类，包括人员支出2702.62万元，占9.64</w:t>
      </w:r>
      <w:r>
        <w:rPr>
          <w:rFonts w:ascii="仿宋_GB2312" w:eastAsia="仿宋_GB2312"/>
          <w:color w:val="000000"/>
          <w:sz w:val="32"/>
          <w:szCs w:val="32"/>
        </w:rPr>
        <w:t>%</w:t>
      </w:r>
      <w:r>
        <w:rPr>
          <w:rFonts w:hint="eastAsia" w:ascii="仿宋_GB2312" w:eastAsia="仿宋_GB2312"/>
          <w:color w:val="000000"/>
          <w:sz w:val="32"/>
          <w:szCs w:val="32"/>
        </w:rPr>
        <w:t>；日常公用支出340.16万元，占1.21</w:t>
      </w:r>
      <w:r>
        <w:rPr>
          <w:rFonts w:ascii="仿宋_GB2312" w:eastAsia="仿宋_GB2312"/>
          <w:color w:val="000000"/>
          <w:sz w:val="32"/>
          <w:szCs w:val="32"/>
        </w:rPr>
        <w:t>%</w:t>
      </w:r>
      <w:r>
        <w:rPr>
          <w:rFonts w:hint="eastAsia" w:ascii="仿宋_GB2312" w:eastAsia="仿宋_GB2312"/>
          <w:color w:val="000000"/>
          <w:sz w:val="32"/>
          <w:szCs w:val="32"/>
        </w:rPr>
        <w:t>；项目支出25000万元，占89.15</w:t>
      </w:r>
      <w:r>
        <w:rPr>
          <w:rFonts w:ascii="仿宋_GB2312" w:eastAsia="仿宋_GB2312"/>
          <w:color w:val="000000"/>
          <w:sz w:val="32"/>
          <w:szCs w:val="32"/>
        </w:rPr>
        <w:t>%</w:t>
      </w:r>
      <w:r>
        <w:rPr>
          <w:rFonts w:hint="eastAsia" w:ascii="仿宋_GB2312" w:eastAsia="仿宋_GB2312"/>
          <w:color w:val="000000"/>
          <w:sz w:val="32"/>
          <w:szCs w:val="32"/>
        </w:rPr>
        <w:t>。</w:t>
      </w:r>
    </w:p>
    <w:p>
      <w:pPr>
        <w:snapToGrid w:val="0"/>
        <w:spacing w:line="360" w:lineRule="auto"/>
        <w:ind w:firstLine="630" w:firstLineChars="196"/>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（四）关于台州技师学院（筹）2021年财政拨款收支预算情况的总体说明</w:t>
      </w:r>
    </w:p>
    <w:p>
      <w:pPr>
        <w:snapToGrid w:val="0"/>
        <w:spacing w:line="360" w:lineRule="auto"/>
        <w:ind w:firstLine="640"/>
        <w:rPr>
          <w:rFonts w:ascii="仿宋_GB2312" w:eastAsia="仿宋_GB2312"/>
          <w:color w:val="000000"/>
          <w:sz w:val="32"/>
          <w:szCs w:val="32"/>
        </w:rPr>
      </w:pPr>
      <w:r>
        <w:rPr>
          <w:rFonts w:hint="eastAsia" w:ascii="仿宋_GB2312" w:eastAsia="仿宋_GB2312"/>
          <w:color w:val="000000"/>
          <w:sz w:val="32"/>
          <w:szCs w:val="32"/>
        </w:rPr>
        <w:t>台州技师学院（筹）2021年财政拨款收支总预算27004.78万元。包括：一般公共预算拨款收入4504.78万元、政府性基金收入22500万元；支出包括：教育支出3820.91万元，社会保障和就业支出326.72万元，卫生健康支出128.24万元，城乡社区支出22500万元，住房保障支出228.91万元。</w:t>
      </w:r>
    </w:p>
    <w:p>
      <w:pPr>
        <w:numPr>
          <w:ilvl w:val="0"/>
          <w:numId w:val="1"/>
        </w:numPr>
        <w:snapToGrid w:val="0"/>
        <w:spacing w:line="360" w:lineRule="auto"/>
        <w:ind w:firstLine="64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关于台州技师学院（筹）2021年一般公共预算当年拨款情况说明</w:t>
      </w:r>
    </w:p>
    <w:p>
      <w:pPr>
        <w:snapToGrid w:val="0"/>
        <w:spacing w:line="360" w:lineRule="auto"/>
        <w:ind w:firstLine="642"/>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1.</w:t>
      </w:r>
      <w:r>
        <w:rPr>
          <w:rFonts w:hint="eastAsia" w:ascii="楷体_GB2312" w:hAnsi="楷体_GB2312" w:eastAsia="楷体_GB2312" w:cs="楷体_GB2312"/>
          <w:b/>
          <w:color w:val="000000"/>
          <w:sz w:val="32"/>
          <w:szCs w:val="32"/>
        </w:rPr>
        <w:t>一般公共预算当年拨款规模变化情况</w:t>
      </w:r>
    </w:p>
    <w:p>
      <w:pPr>
        <w:snapToGrid w:val="0"/>
        <w:spacing w:line="360" w:lineRule="auto"/>
        <w:ind w:firstLine="642"/>
        <w:rPr>
          <w:rFonts w:ascii="仿宋_GB2312" w:eastAsia="仿宋_GB2312"/>
          <w:color w:val="000000"/>
          <w:sz w:val="32"/>
          <w:szCs w:val="32"/>
        </w:rPr>
      </w:pPr>
      <w:r>
        <w:rPr>
          <w:rFonts w:hint="eastAsia" w:ascii="仿宋_GB2312" w:eastAsia="仿宋_GB2312"/>
          <w:color w:val="000000"/>
          <w:sz w:val="32"/>
          <w:szCs w:val="32"/>
        </w:rPr>
        <w:t>台州技师学院（筹）2021年一般公共预算当年拨款4504.78万元，</w:t>
      </w:r>
      <w:r>
        <w:rPr>
          <w:rFonts w:hint="eastAsia" w:ascii="仿宋_GB2312" w:eastAsia="仿宋_GB2312"/>
          <w:sz w:val="32"/>
          <w:szCs w:val="32"/>
        </w:rPr>
        <w:t>比2020年执行数增加1793.24万元，主要是学院教职工人数增加导致人员经费增加</w:t>
      </w:r>
      <w:r>
        <w:rPr>
          <w:rFonts w:hint="eastAsia" w:ascii="仿宋_GB2312" w:eastAsia="仿宋_GB2312"/>
          <w:color w:val="000000"/>
          <w:sz w:val="32"/>
          <w:szCs w:val="32"/>
        </w:rPr>
        <w:t>。</w:t>
      </w:r>
    </w:p>
    <w:p>
      <w:pPr>
        <w:snapToGrid w:val="0"/>
        <w:spacing w:line="360" w:lineRule="auto"/>
        <w:ind w:firstLine="642"/>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2.</w:t>
      </w:r>
      <w:r>
        <w:rPr>
          <w:rFonts w:hint="eastAsia" w:ascii="楷体_GB2312" w:hAnsi="楷体_GB2312" w:eastAsia="楷体_GB2312" w:cs="楷体_GB2312"/>
          <w:b/>
          <w:color w:val="000000"/>
          <w:sz w:val="32"/>
          <w:szCs w:val="32"/>
        </w:rPr>
        <w:t>一般公共预算当年拨款结构情况</w:t>
      </w:r>
    </w:p>
    <w:p>
      <w:pPr>
        <w:snapToGrid w:val="0"/>
        <w:spacing w:line="360" w:lineRule="auto"/>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教育支出（类）3820.91万元，占84.82</w:t>
      </w:r>
      <w:r>
        <w:rPr>
          <w:rFonts w:ascii="仿宋_GB2312" w:eastAsia="仿宋_GB2312"/>
          <w:color w:val="000000"/>
          <w:sz w:val="32"/>
          <w:szCs w:val="32"/>
        </w:rPr>
        <w:t>%</w:t>
      </w:r>
      <w:r>
        <w:rPr>
          <w:rFonts w:hint="eastAsia" w:ascii="仿宋_GB2312" w:eastAsia="仿宋_GB2312"/>
          <w:color w:val="000000"/>
          <w:sz w:val="32"/>
          <w:szCs w:val="32"/>
        </w:rPr>
        <w:t>；社会保障和就业支出（类）326.72万元，占7.25</w:t>
      </w:r>
      <w:r>
        <w:rPr>
          <w:rFonts w:ascii="仿宋_GB2312" w:eastAsia="仿宋_GB2312"/>
          <w:color w:val="000000"/>
          <w:sz w:val="32"/>
          <w:szCs w:val="32"/>
        </w:rPr>
        <w:t>%</w:t>
      </w:r>
      <w:r>
        <w:rPr>
          <w:rFonts w:hint="eastAsia" w:ascii="仿宋_GB2312" w:eastAsia="仿宋_GB2312"/>
          <w:color w:val="000000"/>
          <w:sz w:val="32"/>
          <w:szCs w:val="32"/>
        </w:rPr>
        <w:t>；卫生健康支出（类）128.24万元，占2.85%；住房保障支出（类）228.91万元，占5.08%。</w:t>
      </w:r>
    </w:p>
    <w:p>
      <w:pPr>
        <w:snapToGrid w:val="0"/>
        <w:spacing w:line="360" w:lineRule="auto"/>
        <w:rPr>
          <w:rFonts w:ascii="仿宋_GB2312" w:eastAsia="仿宋_GB2312"/>
          <w:color w:val="000000"/>
          <w:sz w:val="32"/>
          <w:szCs w:val="32"/>
        </w:rPr>
      </w:pPr>
      <w:r>
        <w:rPr>
          <w:rFonts w:ascii="仿宋_GB2312" w:eastAsia="仿宋_GB2312"/>
          <w:color w:val="000000"/>
          <w:sz w:val="32"/>
          <w:szCs w:val="32"/>
        </w:rPr>
        <w:t xml:space="preserve">  </w:t>
      </w:r>
      <w:r>
        <w:rPr>
          <w:rFonts w:ascii="楷体_GB2312" w:hAnsi="楷体_GB2312" w:eastAsia="楷体_GB2312" w:cs="楷体_GB2312"/>
          <w:b/>
          <w:color w:val="000000"/>
          <w:sz w:val="32"/>
          <w:szCs w:val="32"/>
        </w:rPr>
        <w:t xml:space="preserve">  3.</w:t>
      </w:r>
      <w:r>
        <w:rPr>
          <w:rFonts w:hint="eastAsia" w:ascii="楷体_GB2312" w:hAnsi="楷体_GB2312" w:eastAsia="楷体_GB2312" w:cs="楷体_GB2312"/>
          <w:b/>
          <w:color w:val="000000"/>
          <w:sz w:val="32"/>
          <w:szCs w:val="32"/>
        </w:rPr>
        <w:t>一般公共预算当年拨款具体使用情况</w:t>
      </w:r>
    </w:p>
    <w:p>
      <w:pPr>
        <w:snapToGrid w:val="0"/>
        <w:spacing w:line="360" w:lineRule="auto"/>
        <w:ind w:firstLine="640"/>
        <w:jc w:val="left"/>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）教育支出（类）职业教育（款）高等职业教育（项）事务3820.91万元，</w:t>
      </w:r>
      <w:r>
        <w:rPr>
          <w:rFonts w:hint="eastAsia" w:ascii="仿宋_GB2312" w:eastAsia="仿宋_GB2312"/>
          <w:sz w:val="32"/>
          <w:szCs w:val="32"/>
        </w:rPr>
        <w:t>主要用于本单位工作人员的工资支出及公用经费支出</w:t>
      </w:r>
      <w:r>
        <w:rPr>
          <w:rFonts w:hint="eastAsia" w:ascii="仿宋_GB2312" w:eastAsia="仿宋_GB2312"/>
          <w:color w:val="000000"/>
          <w:sz w:val="32"/>
          <w:szCs w:val="32"/>
        </w:rPr>
        <w:t>。</w:t>
      </w:r>
    </w:p>
    <w:p>
      <w:pPr>
        <w:snapToGrid w:val="0"/>
        <w:spacing w:line="360" w:lineRule="auto"/>
        <w:ind w:firstLine="640"/>
        <w:jc w:val="left"/>
        <w:rPr>
          <w:rFonts w:ascii="仿宋_GB2312" w:eastAsia="仿宋_GB2312"/>
          <w:color w:val="FF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）社会保障和就业支出（类）行政事业单位养老支出（款）机关事业单位基本养老保险缴费支出（项）事务214.64万元，主要用于本单位工作人员的养老保险缴费支出</w:t>
      </w:r>
      <w:r>
        <w:rPr>
          <w:rFonts w:hint="eastAsia" w:ascii="仿宋_GB2312" w:eastAsia="仿宋_GB2312"/>
          <w:sz w:val="32"/>
          <w:szCs w:val="32"/>
        </w:rPr>
        <w:t>。</w:t>
      </w:r>
    </w:p>
    <w:p>
      <w:pPr>
        <w:snapToGrid w:val="0"/>
        <w:spacing w:line="360" w:lineRule="auto"/>
        <w:ind w:firstLine="640"/>
        <w:jc w:val="left"/>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）社会保障和就业支出（类）行政事业单位养老支出（款）机关事业单位职业年金缴费支出（项）事务112.08万元，主要用于本单位工作人员的职业年金缴费支出。</w:t>
      </w:r>
    </w:p>
    <w:p>
      <w:pPr>
        <w:pStyle w:val="2"/>
        <w:ind w:firstLine="640" w:firstLineChars="200"/>
        <w:rPr>
          <w:rFonts w:hint="default"/>
          <w:sz w:val="32"/>
          <w:szCs w:val="32"/>
        </w:rPr>
      </w:pPr>
      <w:r>
        <w:rPr>
          <w:sz w:val="32"/>
          <w:szCs w:val="32"/>
        </w:rPr>
        <w:t>（4）卫生健康支出（类）行政事业单位医疗（款）事业单位医疗（项）事务128.24万元，主要用于本单位工作人员的医疗保险缴费支出。</w:t>
      </w:r>
    </w:p>
    <w:p>
      <w:pPr>
        <w:pStyle w:val="2"/>
        <w:ind w:firstLine="640" w:firstLineChars="200"/>
        <w:rPr>
          <w:rFonts w:hint="default"/>
        </w:rPr>
      </w:pPr>
      <w:r>
        <w:rPr>
          <w:sz w:val="32"/>
          <w:szCs w:val="32"/>
        </w:rPr>
        <w:t>（5）住房保障支出（类）住房改革支出（款）住房公积金（项）事务228.91万元，主要用于本单位工作人员的住房公积金缴费支出。</w:t>
      </w:r>
    </w:p>
    <w:p>
      <w:pPr>
        <w:snapToGrid w:val="0"/>
        <w:spacing w:line="360" w:lineRule="auto"/>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 xml:space="preserve">    </w:t>
      </w:r>
      <w:r>
        <w:rPr>
          <w:rFonts w:hint="eastAsia" w:ascii="楷体_GB2312" w:hAnsi="楷体_GB2312" w:eastAsia="楷体_GB2312" w:cs="楷体_GB2312"/>
          <w:b/>
          <w:color w:val="000000"/>
          <w:sz w:val="32"/>
          <w:szCs w:val="32"/>
        </w:rPr>
        <w:t>（六）关于台州技师学院（筹）2021年一般公共预算基本支出情况说明</w:t>
      </w:r>
    </w:p>
    <w:p>
      <w:pPr>
        <w:snapToGrid w:val="0"/>
        <w:spacing w:line="360" w:lineRule="auto"/>
        <w:ind w:firstLine="642"/>
        <w:rPr>
          <w:rFonts w:ascii="仿宋_GB2312" w:eastAsia="仿宋_GB2312"/>
          <w:color w:val="000000"/>
          <w:sz w:val="32"/>
          <w:szCs w:val="32"/>
        </w:rPr>
      </w:pPr>
      <w:r>
        <w:rPr>
          <w:rFonts w:hint="eastAsia" w:ascii="仿宋_GB2312" w:eastAsia="仿宋_GB2312"/>
          <w:color w:val="000000"/>
          <w:sz w:val="32"/>
          <w:szCs w:val="32"/>
        </w:rPr>
        <w:t>台州技师学院（筹）2021年一般公共预算基本支出2804.78万元，其中：</w:t>
      </w:r>
    </w:p>
    <w:p>
      <w:pPr>
        <w:snapToGrid w:val="0"/>
        <w:spacing w:line="360" w:lineRule="auto"/>
        <w:ind w:firstLine="642"/>
        <w:rPr>
          <w:rFonts w:ascii="仿宋_GB2312" w:eastAsia="仿宋_GB2312"/>
          <w:color w:val="000000"/>
          <w:sz w:val="32"/>
          <w:szCs w:val="32"/>
        </w:rPr>
      </w:pPr>
      <w:r>
        <w:rPr>
          <w:rFonts w:hint="eastAsia" w:ascii="仿宋_GB2312" w:eastAsia="仿宋_GB2312"/>
          <w:color w:val="000000"/>
          <w:sz w:val="32"/>
          <w:szCs w:val="32"/>
        </w:rPr>
        <w:t>人员经费2464.62万元，主要包括：基本工资、奖金、绩效工资、机关事业单位基本养老保险缴费、职业年金缴费、职工基本医疗保险缴费、其他社会保障缴费、住房公积金、其他工资福利支出、其他对个人和家庭的补助支出；</w:t>
      </w:r>
    </w:p>
    <w:p>
      <w:pPr>
        <w:snapToGrid w:val="0"/>
        <w:spacing w:line="360" w:lineRule="auto"/>
        <w:ind w:firstLine="642"/>
        <w:rPr>
          <w:rFonts w:ascii="仿宋_GB2312" w:eastAsia="仿宋_GB2312"/>
          <w:color w:val="000000"/>
          <w:sz w:val="32"/>
          <w:szCs w:val="32"/>
        </w:rPr>
      </w:pPr>
      <w:r>
        <w:rPr>
          <w:rFonts w:hint="eastAsia" w:ascii="仿宋_GB2312" w:eastAsia="仿宋_GB2312"/>
          <w:color w:val="000000"/>
          <w:sz w:val="32"/>
          <w:szCs w:val="32"/>
        </w:rPr>
        <w:t>公用经费340.16万元，主要包括：办公费、印刷费、咨询费、手续费、邮电费、物业管理费、差旅费、维修（护）费、租赁费、劳务费、工会经费、福利费、公务用车运行维护费、其他交通费用、税金及附加费用、其他商品和服务支出、办公设备购置。</w:t>
      </w:r>
    </w:p>
    <w:p>
      <w:pPr>
        <w:snapToGrid w:val="0"/>
        <w:spacing w:line="360" w:lineRule="auto"/>
        <w:ind w:firstLine="64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（七）关于台州技师学院（筹）2021年政府性基金预算支出情况说明</w:t>
      </w:r>
    </w:p>
    <w:p>
      <w:pPr>
        <w:snapToGrid w:val="0"/>
        <w:spacing w:line="360" w:lineRule="auto"/>
        <w:ind w:firstLine="642"/>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1.</w:t>
      </w:r>
      <w:r>
        <w:rPr>
          <w:rFonts w:hint="eastAsia" w:ascii="楷体_GB2312" w:hAnsi="楷体_GB2312" w:eastAsia="楷体_GB2312" w:cs="楷体_GB2312"/>
          <w:b/>
          <w:color w:val="000000"/>
          <w:sz w:val="32"/>
          <w:szCs w:val="32"/>
        </w:rPr>
        <w:t>政府性基金预算当年拨款规模变化情况</w:t>
      </w:r>
    </w:p>
    <w:p>
      <w:pPr>
        <w:snapToGrid w:val="0"/>
        <w:spacing w:line="360" w:lineRule="auto"/>
        <w:ind w:firstLine="642"/>
        <w:rPr>
          <w:rFonts w:ascii="仿宋_GB2312" w:eastAsia="仿宋_GB2312"/>
          <w:color w:val="FF0000"/>
          <w:sz w:val="32"/>
          <w:szCs w:val="32"/>
        </w:rPr>
      </w:pPr>
      <w:r>
        <w:rPr>
          <w:rFonts w:hint="eastAsia" w:ascii="仿宋_GB2312" w:eastAsia="仿宋_GB2312"/>
          <w:color w:val="000000"/>
          <w:sz w:val="32"/>
          <w:szCs w:val="32"/>
        </w:rPr>
        <w:t>台州技师学院（筹）2021年政府性基金预算当年拨款22500万元，</w:t>
      </w:r>
      <w:r>
        <w:rPr>
          <w:rFonts w:hint="eastAsia" w:ascii="仿宋_GB2312" w:eastAsia="仿宋_GB2312"/>
          <w:sz w:val="32"/>
          <w:szCs w:val="32"/>
        </w:rPr>
        <w:t>比2020年执行数增加5000万元，主要是新校区基建工程项目进度加快导致投入增加。</w:t>
      </w:r>
    </w:p>
    <w:p>
      <w:pPr>
        <w:snapToGrid w:val="0"/>
        <w:spacing w:line="360" w:lineRule="auto"/>
        <w:ind w:firstLine="642"/>
        <w:rPr>
          <w:rFonts w:ascii="楷体_GB2312" w:hAnsi="楷体_GB2312" w:eastAsia="楷体_GB2312" w:cs="楷体_GB2312"/>
          <w:b/>
          <w:color w:val="000000"/>
          <w:sz w:val="32"/>
          <w:szCs w:val="32"/>
        </w:rPr>
      </w:pPr>
      <w:r>
        <w:rPr>
          <w:rFonts w:ascii="楷体_GB2312" w:hAnsi="楷体_GB2312" w:eastAsia="楷体_GB2312" w:cs="楷体_GB2312"/>
          <w:b/>
          <w:color w:val="000000"/>
          <w:sz w:val="32"/>
          <w:szCs w:val="32"/>
        </w:rPr>
        <w:t>2.</w:t>
      </w:r>
      <w:r>
        <w:rPr>
          <w:rFonts w:hint="eastAsia" w:ascii="楷体_GB2312" w:hAnsi="楷体_GB2312" w:eastAsia="楷体_GB2312" w:cs="楷体_GB2312"/>
          <w:b/>
          <w:color w:val="000000"/>
          <w:sz w:val="32"/>
          <w:szCs w:val="32"/>
        </w:rPr>
        <w:t>政府性基金预算当年拨款结构情况</w:t>
      </w:r>
    </w:p>
    <w:p>
      <w:pPr>
        <w:snapToGrid w:val="0"/>
        <w:spacing w:line="360" w:lineRule="auto"/>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城乡社区支出（类）22500万元，占100</w:t>
      </w:r>
      <w:r>
        <w:rPr>
          <w:rFonts w:ascii="仿宋_GB2312" w:eastAsia="仿宋_GB2312"/>
          <w:color w:val="000000"/>
          <w:sz w:val="32"/>
          <w:szCs w:val="32"/>
        </w:rPr>
        <w:t>%</w:t>
      </w:r>
      <w:r>
        <w:rPr>
          <w:rFonts w:hint="eastAsia" w:ascii="仿宋_GB2312" w:eastAsia="仿宋_GB2312"/>
          <w:color w:val="000000"/>
          <w:sz w:val="32"/>
          <w:szCs w:val="32"/>
        </w:rPr>
        <w:t>。</w:t>
      </w:r>
    </w:p>
    <w:p>
      <w:pPr>
        <w:snapToGrid w:val="0"/>
        <w:spacing w:line="360" w:lineRule="auto"/>
        <w:rPr>
          <w:rFonts w:ascii="仿宋_GB2312" w:eastAsia="仿宋_GB2312"/>
          <w:color w:val="000000"/>
          <w:sz w:val="32"/>
          <w:szCs w:val="32"/>
        </w:rPr>
      </w:pPr>
      <w:r>
        <w:rPr>
          <w:rFonts w:ascii="仿宋_GB2312" w:eastAsia="仿宋_GB2312"/>
          <w:color w:val="000000"/>
          <w:sz w:val="32"/>
          <w:szCs w:val="32"/>
        </w:rPr>
        <w:t xml:space="preserve">  </w:t>
      </w:r>
      <w:r>
        <w:rPr>
          <w:rFonts w:ascii="楷体_GB2312" w:hAnsi="楷体_GB2312" w:eastAsia="楷体_GB2312" w:cs="楷体_GB2312"/>
          <w:b/>
          <w:color w:val="000000"/>
          <w:sz w:val="32"/>
          <w:szCs w:val="32"/>
        </w:rPr>
        <w:t xml:space="preserve">  3.</w:t>
      </w:r>
      <w:r>
        <w:rPr>
          <w:rFonts w:hint="eastAsia" w:ascii="楷体_GB2312" w:hAnsi="楷体_GB2312" w:eastAsia="楷体_GB2312" w:cs="楷体_GB2312"/>
          <w:b/>
          <w:color w:val="000000"/>
          <w:sz w:val="32"/>
          <w:szCs w:val="32"/>
        </w:rPr>
        <w:t>政府性基金预算当年拨款具体使用情况</w:t>
      </w:r>
    </w:p>
    <w:p>
      <w:pPr>
        <w:snapToGrid w:val="0"/>
        <w:spacing w:line="360" w:lineRule="auto"/>
        <w:ind w:firstLine="640"/>
        <w:jc w:val="left"/>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）城乡社区支出（类）国有土地使用权出让收入安排的支出（款）城市建设支出（项）事务22500万元，</w:t>
      </w:r>
      <w:r>
        <w:rPr>
          <w:rFonts w:hint="eastAsia" w:ascii="仿宋_GB2312" w:eastAsia="仿宋_GB2312"/>
          <w:sz w:val="32"/>
          <w:szCs w:val="32"/>
        </w:rPr>
        <w:t>主要用于技师学院新校区一期工程建设项目</w:t>
      </w:r>
      <w:r>
        <w:rPr>
          <w:rFonts w:hint="eastAsia" w:ascii="仿宋_GB2312" w:eastAsia="仿宋_GB2312"/>
          <w:color w:val="000000"/>
          <w:sz w:val="32"/>
          <w:szCs w:val="32"/>
        </w:rPr>
        <w:t>。</w:t>
      </w:r>
    </w:p>
    <w:p>
      <w:pPr>
        <w:snapToGrid w:val="0"/>
        <w:spacing w:line="360" w:lineRule="auto"/>
        <w:ind w:firstLine="630" w:firstLineChars="196"/>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（八）关于台州技师学院（筹）2021年</w:t>
      </w:r>
      <w:r>
        <w:rPr>
          <w:rFonts w:hint="eastAsia" w:ascii="楷体_GB2312" w:hAnsi="楷体_GB2312" w:eastAsia="楷体_GB2312" w:cs="楷体_GB2312"/>
          <w:b/>
          <w:sz w:val="32"/>
          <w:szCs w:val="32"/>
        </w:rPr>
        <w:t>一般公共预算</w:t>
      </w:r>
      <w:r>
        <w:rPr>
          <w:rFonts w:hint="eastAsia" w:ascii="楷体_GB2312" w:hAnsi="楷体_GB2312" w:eastAsia="楷体_GB2312" w:cs="楷体_GB2312"/>
          <w:b/>
          <w:color w:val="000000"/>
          <w:sz w:val="32"/>
          <w:szCs w:val="32"/>
        </w:rPr>
        <w:t>“三公”经费预算情况说明</w:t>
      </w:r>
    </w:p>
    <w:p>
      <w:pPr>
        <w:pStyle w:val="12"/>
        <w:snapToGrid w:val="0"/>
        <w:spacing w:line="360" w:lineRule="auto"/>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台州技师学院（筹）2021年“三公”经费预算数为4.15万元，</w:t>
      </w:r>
      <w:r>
        <w:rPr>
          <w:rFonts w:hint="eastAsia" w:ascii="仿宋_GB2312" w:hAnsi="Times New Roman" w:eastAsia="仿宋_GB2312" w:cs="Times New Roman"/>
          <w:kern w:val="2"/>
          <w:sz w:val="32"/>
          <w:szCs w:val="32"/>
        </w:rPr>
        <w:t>比2020年执行数增加1.21万元，增长41.16%，</w:t>
      </w:r>
      <w:r>
        <w:rPr>
          <w:rFonts w:hint="eastAsia" w:ascii="仿宋_GB2312" w:hAnsi="Times New Roman" w:eastAsia="仿宋_GB2312" w:cs="Times New Roman"/>
          <w:color w:val="000000"/>
          <w:kern w:val="2"/>
          <w:sz w:val="32"/>
          <w:szCs w:val="32"/>
        </w:rPr>
        <w:t>具体如下：</w:t>
      </w:r>
    </w:p>
    <w:p>
      <w:pPr>
        <w:pStyle w:val="12"/>
        <w:snapToGrid w:val="0"/>
        <w:spacing w:line="360" w:lineRule="auto"/>
        <w:ind w:firstLine="640" w:firstLineChars="200"/>
        <w:rPr>
          <w:rFonts w:ascii="仿宋_GB2312" w:hAnsi="Times New Roman" w:eastAsia="仿宋_GB2312" w:cs="Times New Roman"/>
          <w:color w:val="000000"/>
          <w:kern w:val="2"/>
          <w:sz w:val="32"/>
          <w:szCs w:val="32"/>
        </w:rPr>
      </w:pPr>
      <w:r>
        <w:rPr>
          <w:rFonts w:ascii="仿宋_GB2312" w:hAnsi="Times New Roman" w:eastAsia="仿宋_GB2312" w:cs="Times New Roman"/>
          <w:color w:val="000000"/>
          <w:kern w:val="2"/>
          <w:sz w:val="32"/>
          <w:szCs w:val="32"/>
        </w:rPr>
        <w:t>1.</w:t>
      </w:r>
      <w:r>
        <w:rPr>
          <w:rFonts w:hint="eastAsia" w:ascii="仿宋_GB2312" w:hAnsi="Times New Roman" w:eastAsia="仿宋_GB2312" w:cs="Times New Roman"/>
          <w:color w:val="000000"/>
          <w:kern w:val="2"/>
          <w:sz w:val="32"/>
          <w:szCs w:val="32"/>
        </w:rPr>
        <w:t>因公出国（境）费用：</w:t>
      </w:r>
      <w:r>
        <w:rPr>
          <w:rFonts w:hint="eastAsia" w:ascii="仿宋_GB2312" w:eastAsia="仿宋_GB2312"/>
          <w:sz w:val="32"/>
          <w:szCs w:val="32"/>
        </w:rPr>
        <w:t>根据市外事办安排的因公出国计划和实际工作需要，2021年安排因公出国（境）费用预算</w:t>
      </w:r>
      <w:r>
        <w:rPr>
          <w:rFonts w:hint="eastAsia" w:ascii="仿宋_GB2312" w:eastAsia="仿宋_GB2312"/>
          <w:color w:val="000000"/>
          <w:sz w:val="32"/>
          <w:szCs w:val="32"/>
        </w:rPr>
        <w:t>0</w:t>
      </w:r>
      <w:r>
        <w:rPr>
          <w:rFonts w:hint="eastAsia" w:ascii="仿宋_GB2312" w:eastAsia="仿宋_GB2312"/>
          <w:sz w:val="32"/>
          <w:szCs w:val="32"/>
        </w:rPr>
        <w:t>万元，和上年的执行数相比无变化。</w:t>
      </w:r>
    </w:p>
    <w:p>
      <w:pPr>
        <w:pStyle w:val="12"/>
        <w:snapToGri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公务接待费：2021年安排公务接待费预算</w:t>
      </w:r>
      <w:r>
        <w:rPr>
          <w:rFonts w:hint="eastAsia" w:ascii="仿宋_GB2312" w:eastAsia="仿宋_GB2312"/>
          <w:color w:val="000000"/>
          <w:sz w:val="32"/>
          <w:szCs w:val="32"/>
        </w:rPr>
        <w:t>0</w:t>
      </w:r>
      <w:r>
        <w:rPr>
          <w:rFonts w:hint="eastAsia" w:ascii="仿宋_GB2312" w:eastAsia="仿宋_GB2312"/>
          <w:sz w:val="32"/>
          <w:szCs w:val="32"/>
        </w:rPr>
        <w:t>万元，和上年的执行数相比无变化。</w:t>
      </w:r>
    </w:p>
    <w:p>
      <w:pPr>
        <w:pStyle w:val="12"/>
        <w:snapToGrid w:val="0"/>
        <w:spacing w:line="360" w:lineRule="auto"/>
        <w:ind w:firstLine="640" w:firstLineChars="200"/>
        <w:rPr>
          <w:rFonts w:ascii="仿宋_GB2312" w:eastAsia="仿宋_GB2312"/>
          <w:color w:val="FF0000"/>
          <w:sz w:val="32"/>
          <w:szCs w:val="32"/>
        </w:rPr>
      </w:pPr>
      <w:r>
        <w:rPr>
          <w:rFonts w:ascii="仿宋_GB2312" w:eastAsia="仿宋_GB2312"/>
          <w:sz w:val="32"/>
          <w:szCs w:val="32"/>
        </w:rPr>
        <w:t>3.</w:t>
      </w:r>
      <w:r>
        <w:rPr>
          <w:rFonts w:hint="eastAsia" w:ascii="仿宋_GB2312" w:eastAsia="仿宋_GB2312"/>
          <w:sz w:val="32"/>
          <w:szCs w:val="32"/>
        </w:rPr>
        <w:t>公务用车购置及运行维护费：2021年安排公务用车购置及运行维护费预算</w:t>
      </w:r>
      <w:r>
        <w:rPr>
          <w:rFonts w:hint="eastAsia" w:ascii="仿宋_GB2312" w:eastAsia="仿宋_GB2312"/>
          <w:color w:val="000000"/>
          <w:sz w:val="32"/>
          <w:szCs w:val="32"/>
        </w:rPr>
        <w:t>4.15</w:t>
      </w:r>
      <w:r>
        <w:rPr>
          <w:rFonts w:hint="eastAsia" w:ascii="仿宋_GB2312" w:eastAsia="仿宋_GB2312"/>
          <w:sz w:val="32"/>
          <w:szCs w:val="32"/>
        </w:rPr>
        <w:t>万元，比上年执行数增长41.16</w:t>
      </w:r>
      <w:r>
        <w:rPr>
          <w:rFonts w:ascii="仿宋_GB2312" w:eastAsia="仿宋_GB2312"/>
          <w:sz w:val="32"/>
          <w:szCs w:val="32"/>
        </w:rPr>
        <w:t>%</w:t>
      </w:r>
      <w:r>
        <w:rPr>
          <w:rFonts w:hint="eastAsia" w:ascii="仿宋_GB2312" w:eastAsia="仿宋_GB2312"/>
          <w:sz w:val="32"/>
          <w:szCs w:val="32"/>
        </w:rPr>
        <w:t>。其中，公务用车购置支出</w:t>
      </w:r>
      <w:r>
        <w:rPr>
          <w:rFonts w:hint="eastAsia" w:ascii="仿宋_GB2312" w:eastAsia="仿宋_GB2312"/>
          <w:color w:val="000000"/>
          <w:sz w:val="32"/>
          <w:szCs w:val="32"/>
        </w:rPr>
        <w:t>0</w:t>
      </w:r>
      <w:r>
        <w:rPr>
          <w:rFonts w:hint="eastAsia" w:ascii="仿宋_GB2312" w:eastAsia="仿宋_GB2312"/>
          <w:sz w:val="32"/>
          <w:szCs w:val="32"/>
        </w:rPr>
        <w:t>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辆公务用车；公务用车运行维护费支出4.15</w:t>
      </w:r>
      <w:r>
        <w:rPr>
          <w:rFonts w:ascii="仿宋_GB2312" w:eastAsia="仿宋_GB2312"/>
          <w:sz w:val="32"/>
          <w:szCs w:val="32"/>
        </w:rPr>
        <w:t xml:space="preserve"> </w:t>
      </w:r>
      <w:r>
        <w:rPr>
          <w:rFonts w:hint="eastAsia" w:ascii="仿宋_GB2312" w:eastAsia="仿宋_GB2312"/>
          <w:sz w:val="32"/>
          <w:szCs w:val="32"/>
        </w:rPr>
        <w:t>万元，主要用于单位公车所需的公务用车燃料费、维修费、过桥过路费、保险费、安全奖励费用等支出。增加的主要原因是因为疫情导致2020年公务用车实际运行时间未满12个月，2021年预计全年使用导致费用增加。</w:t>
      </w:r>
    </w:p>
    <w:p>
      <w:pPr>
        <w:snapToGrid w:val="0"/>
        <w:spacing w:line="360" w:lineRule="auto"/>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（九）其他重要事项的情况说明</w:t>
      </w:r>
    </w:p>
    <w:p>
      <w:pPr>
        <w:pStyle w:val="12"/>
        <w:snapToGrid w:val="0"/>
        <w:spacing w:line="360" w:lineRule="auto"/>
        <w:ind w:firstLine="600"/>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机关运行经费</w:t>
      </w:r>
    </w:p>
    <w:p>
      <w:pPr>
        <w:snapToGrid w:val="0"/>
        <w:spacing w:line="360" w:lineRule="auto"/>
        <w:ind w:firstLine="640"/>
        <w:rPr>
          <w:rFonts w:ascii="仿宋_GB2312" w:eastAsia="仿宋_GB2312"/>
          <w:color w:val="000000"/>
          <w:sz w:val="32"/>
          <w:szCs w:val="32"/>
        </w:rPr>
      </w:pPr>
      <w:r>
        <w:rPr>
          <w:rFonts w:hint="eastAsia" w:ascii="仿宋_GB2312" w:eastAsia="仿宋_GB2312"/>
          <w:color w:val="000000"/>
          <w:sz w:val="32"/>
          <w:szCs w:val="32"/>
        </w:rPr>
        <w:t>台州技师学院（筹）为事业单位，2021年没有机关运行经费。</w:t>
      </w:r>
    </w:p>
    <w:p>
      <w:pPr>
        <w:pStyle w:val="12"/>
        <w:numPr>
          <w:ilvl w:val="0"/>
          <w:numId w:val="2"/>
        </w:numPr>
        <w:snapToGrid w:val="0"/>
        <w:spacing w:line="360" w:lineRule="auto"/>
        <w:ind w:firstLine="600"/>
        <w:rPr>
          <w:rFonts w:ascii="仿宋_GB2312" w:eastAsia="仿宋_GB2312"/>
          <w:b/>
          <w:bCs/>
          <w:sz w:val="32"/>
          <w:szCs w:val="32"/>
        </w:rPr>
      </w:pPr>
      <w:r>
        <w:rPr>
          <w:rFonts w:hint="eastAsia" w:ascii="仿宋_GB2312" w:eastAsia="仿宋_GB2312"/>
          <w:b/>
          <w:bCs/>
          <w:sz w:val="32"/>
          <w:szCs w:val="32"/>
        </w:rPr>
        <w:t>政府采购情况</w:t>
      </w:r>
    </w:p>
    <w:p>
      <w:pPr>
        <w:pStyle w:val="12"/>
        <w:snapToGrid w:val="0"/>
        <w:spacing w:line="360" w:lineRule="auto"/>
        <w:ind w:firstLine="640" w:firstLineChars="200"/>
        <w:rPr>
          <w:rFonts w:ascii="仿宋_GB2312" w:eastAsia="仿宋_GB2312"/>
          <w:color w:val="00B050"/>
          <w:sz w:val="32"/>
          <w:szCs w:val="32"/>
        </w:rPr>
      </w:pPr>
      <w:r>
        <w:rPr>
          <w:rFonts w:hint="eastAsia" w:ascii="仿宋_GB2312" w:eastAsia="仿宋_GB2312"/>
          <w:color w:val="000000" w:themeColor="text1"/>
          <w:sz w:val="32"/>
          <w:szCs w:val="32"/>
          <w14:textFill>
            <w14:solidFill>
              <w14:schemeClr w14:val="tx1"/>
            </w14:solidFill>
          </w14:textFill>
        </w:rPr>
        <w:t>2021年台州技师学院（筹）单位政府采购预算总额95.26万元，其中：政府采购货物预算83.26万元、政府采购工程预算0万元、政府采购服务预算0万元。</w:t>
      </w:r>
    </w:p>
    <w:p>
      <w:pPr>
        <w:pStyle w:val="12"/>
        <w:snapToGrid w:val="0"/>
        <w:spacing w:line="360" w:lineRule="auto"/>
        <w:ind w:firstLine="642"/>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国有资产占有使用情况</w:t>
      </w:r>
      <w:r>
        <w:rPr>
          <w:rFonts w:ascii="仿宋_GB2312" w:eastAsia="仿宋_GB2312"/>
          <w:sz w:val="32"/>
          <w:szCs w:val="32"/>
        </w:rPr>
        <w:t xml:space="preserve">    </w:t>
      </w:r>
    </w:p>
    <w:p>
      <w:pPr>
        <w:pStyle w:val="12"/>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截至2020年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台州技师学院（筹）预算单位共有车辆1辆，其中，市级领导用车0辆、机要通信用车及应急保障用车1辆、执法执勤用车0辆、特种专业技术用车0辆、老干部服务用车0辆、行政执法专用车0辆。单位价值50万元以上通用设备0台（套），单位价值100万元以上专用设备0台（套）。</w:t>
      </w:r>
    </w:p>
    <w:p>
      <w:pPr>
        <w:pStyle w:val="12"/>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2021年部门预算未安排购置车辆、单位价值50万元以上通用设备及单位价值1</w:t>
      </w:r>
      <w:r>
        <w:rPr>
          <w:rFonts w:ascii="仿宋_GB2312" w:eastAsia="仿宋_GB2312"/>
          <w:sz w:val="32"/>
          <w:szCs w:val="32"/>
        </w:rPr>
        <w:t>00</w:t>
      </w:r>
      <w:r>
        <w:rPr>
          <w:rFonts w:hint="eastAsia" w:ascii="仿宋_GB2312" w:eastAsia="仿宋_GB2312"/>
          <w:sz w:val="32"/>
          <w:szCs w:val="32"/>
        </w:rPr>
        <w:t>万元以上专用设备。</w:t>
      </w:r>
    </w:p>
    <w:p>
      <w:pPr>
        <w:pStyle w:val="12"/>
        <w:snapToGrid w:val="0"/>
        <w:spacing w:line="360" w:lineRule="auto"/>
        <w:ind w:firstLine="643" w:firstLineChars="200"/>
        <w:rPr>
          <w:rFonts w:ascii="仿宋_GB2312" w:eastAsia="仿宋_GB2312"/>
          <w:b/>
          <w:bCs/>
          <w:sz w:val="32"/>
          <w:szCs w:val="32"/>
        </w:rPr>
      </w:pPr>
      <w:r>
        <w:rPr>
          <w:rFonts w:ascii="仿宋_GB2312" w:eastAsia="仿宋_GB2312"/>
          <w:b/>
          <w:bCs/>
          <w:sz w:val="32"/>
          <w:szCs w:val="32"/>
        </w:rPr>
        <w:t xml:space="preserve"> 4.</w:t>
      </w:r>
      <w:r>
        <w:rPr>
          <w:rFonts w:hint="eastAsia" w:ascii="仿宋_GB2312" w:eastAsia="仿宋_GB2312"/>
          <w:b/>
          <w:bCs/>
          <w:sz w:val="32"/>
          <w:szCs w:val="32"/>
        </w:rPr>
        <w:t>绩效目标设置情况</w:t>
      </w:r>
    </w:p>
    <w:p>
      <w:pPr>
        <w:pStyle w:val="12"/>
        <w:snapToGrid w:val="0"/>
        <w:spacing w:line="360" w:lineRule="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2021年</w:t>
      </w:r>
      <w:r>
        <w:rPr>
          <w:rFonts w:hint="eastAsia" w:ascii="仿宋_GB2312" w:eastAsia="仿宋_GB2312"/>
          <w:color w:val="000000"/>
          <w:sz w:val="32"/>
          <w:szCs w:val="32"/>
        </w:rPr>
        <w:t>台州技师学院（筹）运转类和特定目标类项目均实行绩效目标管理，涉及一般公共预算当年拨款</w:t>
      </w:r>
      <w:r>
        <w:rPr>
          <w:rFonts w:hint="eastAsia" w:ascii="仿宋_GB2312" w:eastAsia="仿宋_GB2312"/>
          <w:sz w:val="32"/>
          <w:szCs w:val="32"/>
        </w:rPr>
        <w:t>0万元。</w:t>
      </w:r>
    </w:p>
    <w:p>
      <w:pPr>
        <w:pStyle w:val="12"/>
        <w:snapToGrid w:val="0"/>
        <w:spacing w:line="360" w:lineRule="auto"/>
        <w:ind w:firstLine="643" w:firstLineChars="200"/>
        <w:rPr>
          <w:rStyle w:val="7"/>
          <w:rFonts w:ascii="黑体" w:hAnsi="黑体" w:eastAsia="黑体" w:cs="黑体"/>
          <w:b w:val="0"/>
          <w:bCs w:val="0"/>
          <w:sz w:val="32"/>
          <w:szCs w:val="32"/>
        </w:rPr>
      </w:pPr>
      <w:r>
        <w:rPr>
          <w:rStyle w:val="7"/>
          <w:rFonts w:hint="eastAsia" w:ascii="黑体" w:hAnsi="黑体" w:eastAsia="黑体" w:cs="黑体"/>
          <w:sz w:val="32"/>
          <w:szCs w:val="32"/>
        </w:rPr>
        <w:t>三、名词解释</w:t>
      </w:r>
    </w:p>
    <w:p>
      <w:pPr>
        <w:pStyle w:val="12"/>
        <w:snapToGrid w:val="0"/>
        <w:spacing w:line="360" w:lineRule="auto"/>
        <w:rPr>
          <w:rFonts w:ascii="仿宋_GB2312" w:eastAsia="仿宋_GB2312"/>
          <w:sz w:val="32"/>
          <w:szCs w:val="32"/>
        </w:rPr>
      </w:pPr>
      <w:r>
        <w:rPr>
          <w:rFonts w:ascii="仿宋_GB2312" w:eastAsia="仿宋_GB2312"/>
          <w:color w:val="000000"/>
          <w:sz w:val="32"/>
          <w:szCs w:val="32"/>
        </w:rPr>
        <w:t xml:space="preserve">    1.</w:t>
      </w:r>
      <w:r>
        <w:rPr>
          <w:rFonts w:hint="eastAsia" w:ascii="仿宋_GB2312" w:eastAsia="仿宋_GB2312"/>
          <w:color w:val="000000"/>
          <w:sz w:val="32"/>
          <w:szCs w:val="32"/>
        </w:rPr>
        <w:t>财政拨款收入：</w:t>
      </w:r>
      <w:r>
        <w:rPr>
          <w:rFonts w:hint="eastAsia" w:ascii="仿宋_GB2312" w:eastAsia="仿宋_GB2312"/>
          <w:sz w:val="32"/>
          <w:szCs w:val="32"/>
        </w:rPr>
        <w:t>本级财政部门当年拨付的财政预算资金，包括一般公共预算财政拨款和政府性基金预算财政拨款。</w:t>
      </w:r>
    </w:p>
    <w:p>
      <w:pPr>
        <w:pStyle w:val="12"/>
        <w:snapToGrid w:val="0"/>
        <w:spacing w:line="360" w:lineRule="auto"/>
        <w:rPr>
          <w:rFonts w:ascii="仿宋_GB2312" w:eastAsia="仿宋_GB2312"/>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其他财政监管资金：</w:t>
      </w:r>
      <w:r>
        <w:rPr>
          <w:rFonts w:hint="eastAsia" w:ascii="仿宋_GB2312" w:eastAsia="仿宋_GB2312"/>
          <w:sz w:val="32"/>
          <w:szCs w:val="32"/>
        </w:rPr>
        <w:t>主要包括单位的经营服务性税后收入等。</w:t>
      </w:r>
    </w:p>
    <w:p>
      <w:pPr>
        <w:snapToGrid w:val="0"/>
        <w:spacing w:line="360" w:lineRule="auto"/>
        <w:ind w:firstLine="640" w:firstLineChars="200"/>
        <w:jc w:val="left"/>
        <w:rPr>
          <w:rFonts w:ascii="仿宋_GB2312" w:hAnsi="仿宋_GB2312" w:eastAsia="仿宋_GB2312"/>
          <w:sz w:val="32"/>
        </w:rPr>
      </w:pPr>
      <w:r>
        <w:rPr>
          <w:rFonts w:hint="eastAsia" w:ascii="仿宋_GB2312" w:hAnsi="仿宋_GB2312" w:eastAsia="仿宋_GB2312"/>
          <w:sz w:val="32"/>
        </w:rPr>
        <w:t>3</w:t>
      </w:r>
      <w:r>
        <w:rPr>
          <w:rFonts w:ascii="仿宋_GB2312" w:hAnsi="仿宋_GB2312" w:eastAsia="仿宋_GB2312"/>
          <w:sz w:val="32"/>
        </w:rPr>
        <w:t>.</w:t>
      </w:r>
      <w:r>
        <w:rPr>
          <w:rFonts w:hint="eastAsia" w:ascii="仿宋_GB2312" w:hAnsi="仿宋_GB2312" w:eastAsia="仿宋_GB2312"/>
          <w:sz w:val="32"/>
        </w:rPr>
        <w:t>基本支出：是预算单位为保障其正常运转，完成日常工作任务所发生的支出，包括人员支出和日常公用支出。</w:t>
      </w:r>
    </w:p>
    <w:p>
      <w:pPr>
        <w:snapToGrid w:val="0"/>
        <w:spacing w:line="360" w:lineRule="auto"/>
        <w:ind w:firstLine="640" w:firstLineChars="200"/>
        <w:jc w:val="left"/>
        <w:rPr>
          <w:rFonts w:ascii="仿宋_GB2312" w:hAnsi="仿宋_GB2312" w:eastAsia="仿宋_GB2312"/>
          <w:sz w:val="32"/>
        </w:rPr>
      </w:pPr>
      <w:r>
        <w:rPr>
          <w:rFonts w:hint="eastAsia" w:ascii="仿宋_GB2312" w:hAnsi="仿宋_GB2312" w:eastAsia="仿宋_GB2312"/>
          <w:sz w:val="32"/>
        </w:rPr>
        <w:t>4</w:t>
      </w:r>
      <w:r>
        <w:rPr>
          <w:rFonts w:ascii="仿宋_GB2312" w:hAnsi="仿宋_GB2312" w:eastAsia="仿宋_GB2312"/>
          <w:sz w:val="32"/>
        </w:rPr>
        <w:t>.</w:t>
      </w:r>
      <w:r>
        <w:rPr>
          <w:rFonts w:hint="eastAsia" w:ascii="仿宋_GB2312" w:hAnsi="仿宋_GB2312" w:eastAsia="仿宋_GB2312"/>
          <w:sz w:val="32"/>
        </w:rPr>
        <w:t>项目支出：是预算单位为完成其特定的行政工作任务或事业发展目标所发生的支出。</w:t>
      </w:r>
    </w:p>
    <w:p>
      <w:pPr>
        <w:snapToGrid w:val="0"/>
        <w:spacing w:line="360" w:lineRule="auto"/>
        <w:ind w:firstLine="600" w:firstLineChars="200"/>
        <w:rPr>
          <w:rFonts w:ascii="仿宋_GB2312" w:eastAsia="仿宋_GB2312"/>
          <w:bCs/>
          <w:color w:val="000000"/>
          <w:sz w:val="30"/>
          <w:szCs w:val="30"/>
        </w:rPr>
      </w:pPr>
      <w:r>
        <w:rPr>
          <w:rFonts w:hint="eastAsia" w:ascii="仿宋_GB2312" w:eastAsia="仿宋_GB2312"/>
          <w:bCs/>
          <w:color w:val="000000"/>
          <w:sz w:val="30"/>
          <w:szCs w:val="30"/>
        </w:rPr>
        <w:t>5</w:t>
      </w:r>
      <w:r>
        <w:rPr>
          <w:rFonts w:ascii="仿宋_GB2312" w:eastAsia="仿宋_GB2312"/>
          <w:bCs/>
          <w:color w:val="000000"/>
          <w:sz w:val="30"/>
          <w:szCs w:val="30"/>
        </w:rPr>
        <w:t>.</w:t>
      </w:r>
      <w:r>
        <w:rPr>
          <w:rFonts w:hint="eastAsia" w:ascii="仿宋_GB2312" w:eastAsia="仿宋_GB2312"/>
          <w:bCs/>
          <w:color w:val="000000"/>
          <w:sz w:val="30"/>
          <w:szCs w:val="30"/>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snapToGrid w:val="0"/>
        <w:spacing w:line="360" w:lineRule="auto"/>
        <w:ind w:firstLine="640"/>
        <w:jc w:val="left"/>
        <w:rPr>
          <w:rFonts w:ascii="仿宋_GB2312" w:eastAsia="仿宋_GB2312"/>
          <w:color w:val="000000"/>
          <w:sz w:val="32"/>
          <w:szCs w:val="32"/>
        </w:rPr>
      </w:pPr>
      <w:r>
        <w:rPr>
          <w:rFonts w:hint="eastAsia" w:ascii="仿宋_GB2312" w:eastAsia="仿宋_GB2312"/>
          <w:color w:val="000000"/>
          <w:sz w:val="32"/>
          <w:szCs w:val="32"/>
        </w:rPr>
        <w:t>6.教育支出（类）职业教育（款）高等职业教育（项）：反映各部门举办的本科、专科层次职业教育支出。政府各部门对社会组织等举办的本科、专科层次职业院校的资助，如捐赠、补贴等，也在本科目中反映。</w:t>
      </w:r>
    </w:p>
    <w:p>
      <w:pPr>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7.社会保障和就业支出（类）行政事业单位养老支出（款）机关事业单位基本养老保险缴费支出（项）：</w:t>
      </w:r>
      <w:r>
        <w:rPr>
          <w:rFonts w:hint="eastAsia" w:ascii="仿宋_GB2312" w:eastAsia="仿宋_GB2312"/>
          <w:bCs/>
          <w:color w:val="000000"/>
          <w:sz w:val="30"/>
          <w:szCs w:val="30"/>
        </w:rPr>
        <w:t>反映机关事业单位实施养老保险制度由单位缴纳的基本养老保险费支出。</w:t>
      </w:r>
    </w:p>
    <w:p>
      <w:pPr>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8.社会保障和就业支出（类）行政事业单位养老支出（款）机关事业单位职业年金缴费支出（项）：</w:t>
      </w:r>
      <w:r>
        <w:rPr>
          <w:rFonts w:hint="eastAsia" w:ascii="仿宋_GB2312" w:eastAsia="仿宋_GB2312"/>
          <w:bCs/>
          <w:color w:val="000000"/>
          <w:sz w:val="30"/>
          <w:szCs w:val="30"/>
        </w:rPr>
        <w:t>反映机关事业单位实施养老保险制度由单位缴纳的职业年金支出。</w:t>
      </w:r>
    </w:p>
    <w:p>
      <w:pPr>
        <w:snapToGrid w:val="0"/>
        <w:spacing w:line="360" w:lineRule="auto"/>
        <w:ind w:firstLine="640" w:firstLineChars="200"/>
        <w:rPr>
          <w:rFonts w:ascii="仿宋_GB2312" w:eastAsia="仿宋_GB2312"/>
          <w:bCs/>
          <w:color w:val="000000"/>
          <w:sz w:val="30"/>
          <w:szCs w:val="30"/>
        </w:rPr>
      </w:pPr>
      <w:r>
        <w:rPr>
          <w:rFonts w:hint="eastAsia"/>
          <w:color w:val="000000"/>
          <w:sz w:val="32"/>
          <w:szCs w:val="32"/>
        </w:rPr>
        <w:t>9.</w:t>
      </w:r>
      <w:r>
        <w:rPr>
          <w:rFonts w:hint="eastAsia" w:ascii="仿宋_GB2312" w:eastAsia="仿宋_GB2312"/>
          <w:color w:val="000000"/>
          <w:sz w:val="32"/>
          <w:szCs w:val="32"/>
        </w:rPr>
        <w:t>卫生健康支出（类）行政事业单位医疗（款）事业单位医疗（项）</w:t>
      </w:r>
      <w:r>
        <w:rPr>
          <w:rFonts w:hint="eastAsia"/>
          <w:color w:val="000000"/>
          <w:sz w:val="32"/>
          <w:szCs w:val="32"/>
        </w:rPr>
        <w:t>：</w:t>
      </w:r>
      <w:r>
        <w:rPr>
          <w:rFonts w:hint="eastAsia" w:ascii="仿宋_GB2312" w:eastAsia="仿宋_GB2312"/>
          <w:bCs/>
          <w:color w:val="000000"/>
          <w:sz w:val="30"/>
          <w:szCs w:val="30"/>
        </w:rPr>
        <w:t>反映财政部门安排的事业单位基本医疗保险缴费经费，未参加医疗保险的事业单位的公费医疗经费，按国家规定享受的离休人员待遇的医疗经费。</w:t>
      </w:r>
    </w:p>
    <w:p>
      <w:pPr>
        <w:snapToGrid w:val="0"/>
        <w:spacing w:line="360" w:lineRule="auto"/>
        <w:ind w:firstLine="640" w:firstLineChars="200"/>
        <w:rPr>
          <w:rFonts w:eastAsia="仿宋_GB2312"/>
        </w:rPr>
      </w:pPr>
      <w:r>
        <w:rPr>
          <w:rFonts w:hint="eastAsia"/>
          <w:color w:val="000000"/>
          <w:sz w:val="32"/>
          <w:szCs w:val="32"/>
        </w:rPr>
        <w:t>10.</w:t>
      </w:r>
      <w:r>
        <w:rPr>
          <w:rFonts w:hint="eastAsia" w:ascii="仿宋_GB2312" w:eastAsia="仿宋_GB2312"/>
          <w:color w:val="000000"/>
          <w:sz w:val="32"/>
          <w:szCs w:val="32"/>
        </w:rPr>
        <w:t>住房保障支出（类）住房改革支出（款）住房公积金（项）</w:t>
      </w:r>
      <w:r>
        <w:rPr>
          <w:rFonts w:hint="eastAsia"/>
          <w:color w:val="000000"/>
          <w:sz w:val="32"/>
          <w:szCs w:val="32"/>
        </w:rPr>
        <w:t>：</w:t>
      </w:r>
      <w:r>
        <w:rPr>
          <w:rFonts w:hint="eastAsia" w:ascii="仿宋_GB2312" w:eastAsia="仿宋_GB2312"/>
          <w:bCs/>
          <w:color w:val="000000"/>
          <w:sz w:val="30"/>
          <w:szCs w:val="30"/>
        </w:rPr>
        <w:t>反映行政事业单位按人力资源和社会保障部、财政部规定的基本工资和津贴补贴以及规定比例为职工缴纳的住房公积金。</w:t>
      </w:r>
    </w:p>
    <w:p>
      <w:pPr>
        <w:snapToGrid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11.城乡社区支出（类）国有土地使用权出让收入安排的支出（款）城市建设支出（项）：反映土地出让收入用于完善国有土地使用功能的配套设施建设和城市基础设施建设支出。</w:t>
      </w:r>
    </w:p>
    <w:p>
      <w:pPr>
        <w:pStyle w:val="2"/>
        <w:rPr>
          <w:rFonts w:hint="default"/>
        </w:rPr>
      </w:pPr>
    </w:p>
    <w:p>
      <w:pPr>
        <w:widowControl/>
        <w:tabs>
          <w:tab w:val="left" w:pos="7380"/>
          <w:tab w:val="left" w:pos="7560"/>
        </w:tabs>
        <w:snapToGrid w:val="0"/>
        <w:spacing w:line="360" w:lineRule="auto"/>
        <w:rPr>
          <w:rFonts w:ascii="仿宋_GB2312" w:hAnsi="仿宋" w:eastAsia="仿宋_GB2312"/>
          <w:sz w:val="28"/>
          <w:szCs w:val="28"/>
        </w:rPr>
      </w:pPr>
    </w:p>
    <w:p>
      <w:pPr>
        <w:widowControl/>
        <w:tabs>
          <w:tab w:val="left" w:pos="7380"/>
          <w:tab w:val="left" w:pos="7560"/>
        </w:tabs>
        <w:snapToGrid w:val="0"/>
        <w:spacing w:line="360" w:lineRule="auto"/>
        <w:rPr>
          <w:rFonts w:ascii="仿宋_GB2312" w:hAnsi="仿宋" w:eastAsia="仿宋_GB2312"/>
          <w:sz w:val="28"/>
          <w:szCs w:val="28"/>
        </w:rPr>
      </w:pPr>
    </w:p>
    <w:p>
      <w:pPr>
        <w:widowControl/>
        <w:tabs>
          <w:tab w:val="left" w:pos="7380"/>
          <w:tab w:val="left" w:pos="7560"/>
        </w:tabs>
        <w:snapToGrid w:val="0"/>
        <w:spacing w:line="360" w:lineRule="auto"/>
        <w:rPr>
          <w:rFonts w:ascii="仿宋_GB2312" w:hAnsi="仿宋" w:eastAsia="仿宋_GB2312"/>
          <w:sz w:val="28"/>
          <w:szCs w:val="28"/>
        </w:rPr>
      </w:pPr>
    </w:p>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W w:w="8895" w:type="dxa"/>
        <w:tblInd w:w="0" w:type="dxa"/>
        <w:tblLayout w:type="autofit"/>
        <w:tblCellMar>
          <w:top w:w="0" w:type="dxa"/>
          <w:left w:w="0" w:type="dxa"/>
          <w:bottom w:w="0" w:type="dxa"/>
          <w:right w:w="0" w:type="dxa"/>
        </w:tblCellMar>
      </w:tblPr>
      <w:tblGrid>
        <w:gridCol w:w="1935"/>
        <w:gridCol w:w="695"/>
        <w:gridCol w:w="1125"/>
        <w:gridCol w:w="4110"/>
        <w:gridCol w:w="1030"/>
      </w:tblGrid>
      <w:tr>
        <w:tblPrEx>
          <w:tblCellMar>
            <w:top w:w="0" w:type="dxa"/>
            <w:left w:w="0" w:type="dxa"/>
            <w:bottom w:w="0" w:type="dxa"/>
            <w:right w:w="0" w:type="dxa"/>
          </w:tblCellMar>
        </w:tblPrEx>
        <w:trPr>
          <w:trHeight w:val="312" w:hRule="atLeast"/>
        </w:trPr>
        <w:tc>
          <w:tcPr>
            <w:tcW w:w="8895" w:type="dxa"/>
            <w:gridSpan w:val="5"/>
            <w:vMerge w:val="restart"/>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8"/>
                <w:szCs w:val="28"/>
              </w:rPr>
              <w:t>2021年市级部门收支预算总表</w:t>
            </w:r>
          </w:p>
        </w:tc>
      </w:tr>
      <w:tr>
        <w:tblPrEx>
          <w:tblCellMar>
            <w:top w:w="0" w:type="dxa"/>
            <w:left w:w="0" w:type="dxa"/>
            <w:bottom w:w="0" w:type="dxa"/>
            <w:right w:w="0" w:type="dxa"/>
          </w:tblCellMar>
        </w:tblPrEx>
        <w:trPr>
          <w:trHeight w:val="312" w:hRule="atLeast"/>
        </w:trPr>
        <w:tc>
          <w:tcPr>
            <w:tcW w:w="8895" w:type="dxa"/>
            <w:gridSpan w:val="5"/>
            <w:vMerge w:val="continue"/>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b/>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b/>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b/>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b/>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b/>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表01</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270" w:hRule="atLeast"/>
        </w:trPr>
        <w:tc>
          <w:tcPr>
            <w:tcW w:w="3765"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收 入</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支 出</w:t>
            </w:r>
          </w:p>
        </w:tc>
      </w:tr>
      <w:tr>
        <w:tblPrEx>
          <w:tblCellMar>
            <w:top w:w="0" w:type="dxa"/>
            <w:left w:w="0" w:type="dxa"/>
            <w:bottom w:w="0" w:type="dxa"/>
            <w:right w:w="0" w:type="dxa"/>
          </w:tblCellMar>
        </w:tblPrEx>
        <w:trPr>
          <w:trHeight w:val="36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 目</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预算数</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 目</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预算数</w:t>
            </w:r>
          </w:p>
        </w:tc>
      </w:tr>
      <w:tr>
        <w:tblPrEx>
          <w:tblCellMar>
            <w:top w:w="0" w:type="dxa"/>
            <w:left w:w="0" w:type="dxa"/>
            <w:bottom w:w="0" w:type="dxa"/>
            <w:right w:w="0" w:type="dxa"/>
          </w:tblCellMar>
        </w:tblPrEx>
        <w:trPr>
          <w:trHeight w:val="375" w:hRule="atLeast"/>
        </w:trPr>
        <w:tc>
          <w:tcPr>
            <w:tcW w:w="2640" w:type="dxa"/>
            <w:gridSpan w:val="2"/>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4,504.78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[205]</w:t>
            </w:r>
            <w:r>
              <w:rPr>
                <w:rStyle w:val="13"/>
                <w:rFonts w:hint="default"/>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4,849.39</w:t>
            </w:r>
          </w:p>
        </w:tc>
      </w:tr>
      <w:tr>
        <w:tblPrEx>
          <w:tblCellMar>
            <w:top w:w="0" w:type="dxa"/>
            <w:left w:w="0" w:type="dxa"/>
            <w:bottom w:w="0" w:type="dxa"/>
            <w:right w:w="0" w:type="dxa"/>
          </w:tblCellMar>
        </w:tblPrEx>
        <w:trPr>
          <w:trHeight w:val="60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二、政府性基金预算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[20503]</w:t>
            </w:r>
            <w:r>
              <w:rPr>
                <w:rStyle w:val="13"/>
                <w:rFonts w:hint="default"/>
              </w:rPr>
              <w:t>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4,849.39</w:t>
            </w:r>
          </w:p>
        </w:tc>
      </w:tr>
      <w:tr>
        <w:tblPrEx>
          <w:tblCellMar>
            <w:top w:w="0" w:type="dxa"/>
            <w:left w:w="0" w:type="dxa"/>
            <w:bottom w:w="0" w:type="dxa"/>
            <w:right w:w="0" w:type="dxa"/>
          </w:tblCellMar>
        </w:tblPrEx>
        <w:trPr>
          <w:trHeight w:val="555"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三、财政专户资金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[2050305]</w:t>
            </w:r>
            <w:r>
              <w:rPr>
                <w:rStyle w:val="13"/>
                <w:rFonts w:hint="default"/>
              </w:rPr>
              <w:t>高等职业教育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4,849.39</w:t>
            </w:r>
          </w:p>
        </w:tc>
      </w:tr>
      <w:tr>
        <w:tblPrEx>
          <w:tblCellMar>
            <w:top w:w="0" w:type="dxa"/>
            <w:left w:w="0" w:type="dxa"/>
            <w:bottom w:w="0" w:type="dxa"/>
            <w:right w:w="0" w:type="dxa"/>
          </w:tblCellMar>
        </w:tblPrEx>
        <w:trPr>
          <w:trHeight w:val="51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四、事业收入（不含专户资金）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[208]</w:t>
            </w:r>
            <w:r>
              <w:rPr>
                <w:rStyle w:val="13"/>
                <w:rFonts w:hint="default"/>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336.24</w:t>
            </w:r>
          </w:p>
        </w:tc>
      </w:tr>
      <w:tr>
        <w:tblPrEx>
          <w:tblCellMar>
            <w:top w:w="0" w:type="dxa"/>
            <w:left w:w="0" w:type="dxa"/>
            <w:bottom w:w="0" w:type="dxa"/>
            <w:right w:w="0"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五、事业单位经营收入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[20805]</w:t>
            </w:r>
            <w:r>
              <w:rPr>
                <w:rStyle w:val="13"/>
                <w:rFonts w:hint="default"/>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336.24</w:t>
            </w:r>
          </w:p>
        </w:tc>
      </w:tr>
      <w:tr>
        <w:tblPrEx>
          <w:tblCellMar>
            <w:top w:w="0" w:type="dxa"/>
            <w:left w:w="0" w:type="dxa"/>
            <w:bottom w:w="0" w:type="dxa"/>
            <w:right w:w="0" w:type="dxa"/>
          </w:tblCellMar>
        </w:tblPrEx>
        <w:trPr>
          <w:trHeight w:val="48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[2080505]</w:t>
            </w:r>
            <w:r>
              <w:rPr>
                <w:rStyle w:val="13"/>
                <w:rFonts w:hint="default"/>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224.16</w:t>
            </w:r>
          </w:p>
        </w:tc>
      </w:tr>
      <w:tr>
        <w:tblPrEx>
          <w:tblCellMar>
            <w:top w:w="0" w:type="dxa"/>
            <w:left w:w="0" w:type="dxa"/>
            <w:bottom w:w="0" w:type="dxa"/>
            <w:right w:w="0" w:type="dxa"/>
          </w:tblCellMar>
        </w:tblPrEx>
        <w:trPr>
          <w:trHeight w:val="435"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[2080506]</w:t>
            </w:r>
            <w:r>
              <w:rPr>
                <w:rStyle w:val="13"/>
                <w:rFonts w:hint="default"/>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112.08</w:t>
            </w:r>
          </w:p>
        </w:tc>
      </w:tr>
      <w:tr>
        <w:tblPrEx>
          <w:tblCellMar>
            <w:top w:w="0" w:type="dxa"/>
            <w:left w:w="0" w:type="dxa"/>
            <w:bottom w:w="0" w:type="dxa"/>
            <w:right w:w="0" w:type="dxa"/>
          </w:tblCellMar>
        </w:tblPrEx>
        <w:trPr>
          <w:trHeight w:val="42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[210]</w:t>
            </w:r>
            <w:r>
              <w:rPr>
                <w:rStyle w:val="13"/>
                <w:rFonts w:hint="default"/>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128.24</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[21011]</w:t>
            </w:r>
            <w:r>
              <w:rPr>
                <w:rStyle w:val="13"/>
                <w:rFonts w:hint="default"/>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128.24</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[2101102]</w:t>
            </w:r>
            <w:r>
              <w:rPr>
                <w:rStyle w:val="13"/>
                <w:rFonts w:hint="default"/>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128.24</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[212]</w:t>
            </w:r>
            <w:r>
              <w:rPr>
                <w:rStyle w:val="13"/>
                <w:rFonts w:hint="default"/>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22,500.00</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[21208]</w:t>
            </w:r>
            <w:r>
              <w:rPr>
                <w:rStyle w:val="13"/>
                <w:rFonts w:hint="default"/>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22,500.00</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[2120803]</w:t>
            </w:r>
            <w:r>
              <w:rPr>
                <w:rStyle w:val="13"/>
                <w:rFonts w:hint="default"/>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22,500.00</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[221]</w:t>
            </w:r>
            <w:r>
              <w:rPr>
                <w:rStyle w:val="13"/>
                <w:rFonts w:hint="default"/>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228.91</w:t>
            </w:r>
          </w:p>
        </w:tc>
      </w:tr>
      <w:tr>
        <w:tblPrEx>
          <w:tblCellMar>
            <w:top w:w="0" w:type="dxa"/>
            <w:left w:w="0" w:type="dxa"/>
            <w:bottom w:w="0" w:type="dxa"/>
            <w:right w:w="0" w:type="dxa"/>
          </w:tblCellMar>
        </w:tblPrEx>
        <w:trPr>
          <w:trHeight w:val="39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center"/>
              <w:rPr>
                <w:rFonts w:ascii="宋体" w:hAnsi="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[22102]</w:t>
            </w:r>
            <w:r>
              <w:rPr>
                <w:rStyle w:val="13"/>
                <w:rFonts w:hint="default"/>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228.91</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[2210201]</w:t>
            </w:r>
            <w:r>
              <w:rPr>
                <w:rStyle w:val="13"/>
                <w:rFonts w:hint="default"/>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228.91</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28,042.78</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28,042.78</w:t>
            </w: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四、对附属单位补助支出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15"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八、下属单位上缴收入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五、上缴上级支出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九、调入资金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六、债务还本支出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十、债务转贷收入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 xml:space="preserve">  其中：一般债券还本支出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 xml:space="preserve">  其中：一般债券转贷收入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 xml:space="preserve">  专项债券还本支出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 xml:space="preserve">  专项债券转贷收入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七、结转下年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十一、上年结转和结余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 xml:space="preserve">  其中：财政拨款结转结余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 xml:space="preserve">  专户资金结转结余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Arial" w:hAnsi="Arial" w:cs="Arial"/>
                <w:color w:val="000000"/>
                <w:sz w:val="20"/>
                <w:szCs w:val="20"/>
              </w:rPr>
            </w:pPr>
            <w:r>
              <w:rPr>
                <w:rFonts w:ascii="Arial" w:hAnsi="Arial" w:cs="Arial"/>
                <w:color w:val="000000"/>
                <w:kern w:val="0"/>
                <w:sz w:val="20"/>
                <w:szCs w:val="20"/>
              </w:rPr>
              <w:t xml:space="preserve">           </w:t>
            </w:r>
            <w:r>
              <w:rPr>
                <w:rStyle w:val="13"/>
                <w:rFonts w:hint="default"/>
              </w:rPr>
              <w:t>其他结转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90" w:hRule="atLeast"/>
        </w:trPr>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28,042.78</w:t>
            </w:r>
          </w:p>
        </w:tc>
        <w:tc>
          <w:tcPr>
            <w:tcW w:w="4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28,042.78</w:t>
            </w: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W w:w="8595" w:type="dxa"/>
        <w:tblInd w:w="0" w:type="dxa"/>
        <w:tblLayout w:type="autofit"/>
        <w:tblCellMar>
          <w:top w:w="0" w:type="dxa"/>
          <w:left w:w="0" w:type="dxa"/>
          <w:bottom w:w="0" w:type="dxa"/>
          <w:right w:w="0" w:type="dxa"/>
        </w:tblCellMar>
      </w:tblPr>
      <w:tblGrid>
        <w:gridCol w:w="2322"/>
        <w:gridCol w:w="969"/>
        <w:gridCol w:w="4231"/>
        <w:gridCol w:w="1073"/>
      </w:tblGrid>
      <w:tr>
        <w:tblPrEx>
          <w:tblCellMar>
            <w:top w:w="0" w:type="dxa"/>
            <w:left w:w="0" w:type="dxa"/>
            <w:bottom w:w="0" w:type="dxa"/>
            <w:right w:w="0" w:type="dxa"/>
          </w:tblCellMar>
        </w:tblPrEx>
        <w:trPr>
          <w:trHeight w:val="540" w:hRule="atLeast"/>
        </w:trPr>
        <w:tc>
          <w:tcPr>
            <w:tcW w:w="8595" w:type="dxa"/>
            <w:gridSpan w:val="4"/>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b/>
                <w:color w:val="000000"/>
                <w:sz w:val="20"/>
                <w:szCs w:val="20"/>
              </w:rPr>
            </w:pPr>
            <w:r>
              <w:rPr>
                <w:rFonts w:hint="eastAsia" w:ascii="黑体" w:hAnsi="宋体" w:eastAsia="黑体" w:cs="黑体"/>
                <w:b/>
                <w:color w:val="000000"/>
                <w:kern w:val="0"/>
                <w:sz w:val="28"/>
                <w:szCs w:val="28"/>
              </w:rPr>
              <w:t>2021年市级部门财政拨款支出预算表</w:t>
            </w:r>
          </w:p>
        </w:tc>
      </w:tr>
      <w:tr>
        <w:tblPrEx>
          <w:tblCellMar>
            <w:top w:w="0" w:type="dxa"/>
            <w:left w:w="0" w:type="dxa"/>
            <w:bottom w:w="0" w:type="dxa"/>
            <w:right w:w="0" w:type="dxa"/>
          </w:tblCellMar>
        </w:tblPrEx>
        <w:trPr>
          <w:trHeight w:val="52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黑体" w:hAnsi="宋体" w:eastAsia="黑体" w:cs="黑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黑体" w:hAnsi="宋体" w:eastAsia="黑体" w:cs="黑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表02</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黑体" w:hAnsi="宋体" w:eastAsia="黑体" w:cs="黑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黑体" w:hAnsi="宋体" w:eastAsia="黑体" w:cs="黑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4,504.78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[205]</w:t>
            </w:r>
            <w:r>
              <w:rPr>
                <w:rStyle w:val="14"/>
                <w:rFonts w:hint="default"/>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3,820.91</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[20503]</w:t>
            </w:r>
            <w:r>
              <w:rPr>
                <w:rStyle w:val="14"/>
                <w:rFonts w:hint="default"/>
              </w:rPr>
              <w:t>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3,820.91</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[2050305]</w:t>
            </w:r>
            <w:r>
              <w:rPr>
                <w:rStyle w:val="14"/>
                <w:rFonts w:hint="default"/>
              </w:rPr>
              <w:t>高等职业教育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3,820.91</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[208]</w:t>
            </w:r>
            <w:r>
              <w:rPr>
                <w:rStyle w:val="14"/>
                <w:rFonts w:hint="default"/>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326.72</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[20805]</w:t>
            </w:r>
            <w:r>
              <w:rPr>
                <w:rStyle w:val="14"/>
                <w:rFonts w:hint="default"/>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326.72</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[2080505]</w:t>
            </w:r>
            <w:r>
              <w:rPr>
                <w:rStyle w:val="14"/>
                <w:rFonts w:hint="default"/>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214.64</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[2080506]</w:t>
            </w:r>
            <w:r>
              <w:rPr>
                <w:rStyle w:val="14"/>
                <w:rFonts w:hint="default"/>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112.08</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[210]</w:t>
            </w:r>
            <w:r>
              <w:rPr>
                <w:rStyle w:val="14"/>
                <w:rFonts w:hint="default"/>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128.24</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[21011]</w:t>
            </w:r>
            <w:r>
              <w:rPr>
                <w:rStyle w:val="14"/>
                <w:rFonts w:hint="default"/>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128.24</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[2101102]</w:t>
            </w:r>
            <w:r>
              <w:rPr>
                <w:rStyle w:val="14"/>
                <w:rFonts w:hint="default"/>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128.24</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[212]</w:t>
            </w:r>
            <w:r>
              <w:rPr>
                <w:rStyle w:val="14"/>
                <w:rFonts w:hint="default"/>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22,500.00</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[21208]</w:t>
            </w:r>
            <w:r>
              <w:rPr>
                <w:rStyle w:val="14"/>
                <w:rFonts w:hint="default"/>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22,500.00</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[2120803]</w:t>
            </w:r>
            <w:r>
              <w:rPr>
                <w:rStyle w:val="14"/>
                <w:rFonts w:hint="default"/>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22,500.00</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[221]</w:t>
            </w:r>
            <w:r>
              <w:rPr>
                <w:rStyle w:val="14"/>
                <w:rFonts w:hint="default"/>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228.91</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[22102]</w:t>
            </w:r>
            <w:r>
              <w:rPr>
                <w:rStyle w:val="14"/>
                <w:rFonts w:hint="default"/>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228.91</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0"/>
                <w:szCs w:val="20"/>
              </w:rPr>
            </w:pPr>
            <w:r>
              <w:rPr>
                <w:rFonts w:ascii="Calibri" w:hAnsi="Calibri" w:cs="Calibri"/>
                <w:color w:val="000000"/>
                <w:kern w:val="0"/>
                <w:sz w:val="20"/>
                <w:szCs w:val="20"/>
              </w:rPr>
              <w:t>[2210201]</w:t>
            </w:r>
            <w:r>
              <w:rPr>
                <w:rStyle w:val="14"/>
                <w:rFonts w:hint="default"/>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228.91</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27,004.78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Calibri" w:hAnsi="Calibri" w:cs="Calibri"/>
                <w:color w:val="000000"/>
                <w:sz w:val="20"/>
                <w:szCs w:val="20"/>
              </w:rPr>
            </w:pPr>
            <w:r>
              <w:rPr>
                <w:rFonts w:ascii="Calibri" w:hAnsi="Calibri" w:cs="Calibri"/>
                <w:color w:val="000000"/>
                <w:kern w:val="0"/>
                <w:sz w:val="20"/>
                <w:szCs w:val="20"/>
              </w:rPr>
              <w:t>27004.78</w:t>
            </w: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W w:w="8850" w:type="dxa"/>
        <w:tblInd w:w="0" w:type="dxa"/>
        <w:tblLayout w:type="autofit"/>
        <w:tblCellMar>
          <w:top w:w="0" w:type="dxa"/>
          <w:left w:w="0" w:type="dxa"/>
          <w:bottom w:w="0" w:type="dxa"/>
          <w:right w:w="0" w:type="dxa"/>
        </w:tblCellMar>
      </w:tblPr>
      <w:tblGrid>
        <w:gridCol w:w="1342"/>
        <w:gridCol w:w="4312"/>
        <w:gridCol w:w="986"/>
        <w:gridCol w:w="986"/>
        <w:gridCol w:w="1224"/>
      </w:tblGrid>
      <w:tr>
        <w:tblPrEx>
          <w:tblCellMar>
            <w:top w:w="0" w:type="dxa"/>
            <w:left w:w="0" w:type="dxa"/>
            <w:bottom w:w="0" w:type="dxa"/>
            <w:right w:w="0" w:type="dxa"/>
          </w:tblCellMar>
        </w:tblPrEx>
        <w:trPr>
          <w:trHeight w:val="915" w:hRule="atLeast"/>
        </w:trPr>
        <w:tc>
          <w:tcPr>
            <w:tcW w:w="8850" w:type="dxa"/>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8"/>
                <w:szCs w:val="28"/>
              </w:rPr>
              <w:t>2021年市级部门一般公共预算支出预算表</w:t>
            </w:r>
          </w:p>
        </w:tc>
      </w:tr>
      <w:tr>
        <w:tblPrEx>
          <w:tblCellMar>
            <w:top w:w="0" w:type="dxa"/>
            <w:left w:w="0" w:type="dxa"/>
            <w:bottom w:w="0" w:type="dxa"/>
            <w:right w:w="0" w:type="dxa"/>
          </w:tblCellMar>
        </w:tblPrEx>
        <w:trPr>
          <w:trHeight w:val="49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jc w:val="cente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表03</w:t>
            </w:r>
          </w:p>
        </w:tc>
      </w:tr>
      <w:tr>
        <w:tblPrEx>
          <w:tblCellMar>
            <w:top w:w="0" w:type="dxa"/>
            <w:left w:w="0" w:type="dxa"/>
            <w:bottom w:w="0" w:type="dxa"/>
            <w:right w:w="0" w:type="dxa"/>
          </w:tblCellMar>
        </w:tblPrEx>
        <w:trPr>
          <w:trHeight w:val="34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jc w:val="cente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4,504.78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2,804.78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1,700.00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3,820.91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1,700.00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3,820.91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1,700.00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2050305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高等职业教育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3,820.91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1,700.00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326.72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326.72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326.72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326.72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W w:w="9795" w:type="dxa"/>
        <w:tblInd w:w="0" w:type="dxa"/>
        <w:tblLayout w:type="autofit"/>
        <w:tblCellMar>
          <w:top w:w="0" w:type="dxa"/>
          <w:left w:w="0" w:type="dxa"/>
          <w:bottom w:w="0" w:type="dxa"/>
          <w:right w:w="0" w:type="dxa"/>
        </w:tblCellMar>
      </w:tblPr>
      <w:tblGrid>
        <w:gridCol w:w="1506"/>
        <w:gridCol w:w="4571"/>
        <w:gridCol w:w="1239"/>
        <w:gridCol w:w="1106"/>
        <w:gridCol w:w="1373"/>
      </w:tblGrid>
      <w:tr>
        <w:tblPrEx>
          <w:tblCellMar>
            <w:top w:w="0" w:type="dxa"/>
            <w:left w:w="0" w:type="dxa"/>
            <w:bottom w:w="0" w:type="dxa"/>
            <w:right w:w="0" w:type="dxa"/>
          </w:tblCellMar>
        </w:tblPrEx>
        <w:trPr>
          <w:trHeight w:val="540" w:hRule="atLeast"/>
        </w:trPr>
        <w:tc>
          <w:tcPr>
            <w:tcW w:w="9795" w:type="dxa"/>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8"/>
                <w:szCs w:val="28"/>
              </w:rPr>
              <w:t>2021年市级部门政府性基金预算表</w:t>
            </w:r>
          </w:p>
        </w:tc>
      </w:tr>
      <w:tr>
        <w:tblPrEx>
          <w:tblCellMar>
            <w:top w:w="0" w:type="dxa"/>
            <w:left w:w="0" w:type="dxa"/>
            <w:bottom w:w="0" w:type="dxa"/>
            <w:right w:w="0" w:type="dxa"/>
          </w:tblCellMar>
        </w:tblPrEx>
        <w:trPr>
          <w:trHeight w:val="54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jc w:val="cente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表04</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项目支出 </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2120803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22,500.00</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W w:w="9030" w:type="dxa"/>
        <w:tblInd w:w="0" w:type="dxa"/>
        <w:tblLayout w:type="autofit"/>
        <w:tblCellMar>
          <w:top w:w="0" w:type="dxa"/>
          <w:left w:w="0" w:type="dxa"/>
          <w:bottom w:w="0" w:type="dxa"/>
          <w:right w:w="0" w:type="dxa"/>
        </w:tblCellMar>
      </w:tblPr>
      <w:tblGrid>
        <w:gridCol w:w="7076"/>
        <w:gridCol w:w="1954"/>
      </w:tblGrid>
      <w:tr>
        <w:tblPrEx>
          <w:tblCellMar>
            <w:top w:w="0" w:type="dxa"/>
            <w:left w:w="0" w:type="dxa"/>
            <w:bottom w:w="0" w:type="dxa"/>
            <w:right w:w="0" w:type="dxa"/>
          </w:tblCellMar>
        </w:tblPrEx>
        <w:trPr>
          <w:trHeight w:val="540" w:hRule="atLeast"/>
        </w:trPr>
        <w:tc>
          <w:tcPr>
            <w:tcW w:w="903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30"/>
                <w:szCs w:val="30"/>
              </w:rPr>
              <w:t>2021年市级部门一般公共预算基本支出表</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表05</w:t>
            </w:r>
          </w:p>
        </w:tc>
      </w:tr>
      <w:tr>
        <w:tblPrEx>
          <w:tblCellMar>
            <w:top w:w="0" w:type="dxa"/>
            <w:left w:w="0" w:type="dxa"/>
            <w:bottom w:w="0" w:type="dxa"/>
            <w:right w:w="0" w:type="dxa"/>
          </w:tblCellMar>
        </w:tblPrEx>
        <w:trPr>
          <w:trHeight w:val="33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经济科目分类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2804.78</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2461.26</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[30101]基本工资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368.94</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[30103]奖金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342.72</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[30107]绩效工资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1043.29</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[30108]机关事业单位基本养老保险缴费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214.64</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[30109]职业年金缴费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112.08</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[30110]职工基本医疗保险缴费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128.24</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[30112]其他社会保障缴费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17.19</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[30113]住房公积金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228.91</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[30199]其他工资福利支出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5.25</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337.90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[30201]办公费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18.00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[30202]印刷费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[30203]咨询费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[30204]手续费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2.40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[30207]邮电费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[30209]物业管理费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[30211]差旅费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[30213]维修（护）费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[30214]租赁费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[30226]劳务费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[30228]工会经费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35.84</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[30229]福利费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89.60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[30231]公务用车运行维护费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4.15</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[30239]其他交通费用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8.96</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[30240]税金及附加费用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10.00</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[30299]其他商品和服务支出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71.95</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3.36</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[30399]其他对个人和家庭的补助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3.36</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2.26</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[31002]办公设备购置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2.26</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pPr w:leftFromText="180" w:rightFromText="180" w:vertAnchor="text" w:horzAnchor="page" w:tblpX="1237" w:tblpY="202"/>
        <w:tblOverlap w:val="never"/>
        <w:tblW w:w="10020" w:type="dxa"/>
        <w:tblInd w:w="0" w:type="dxa"/>
        <w:tblLayout w:type="fixed"/>
        <w:tblCellMar>
          <w:top w:w="0" w:type="dxa"/>
          <w:left w:w="0" w:type="dxa"/>
          <w:bottom w:w="0" w:type="dxa"/>
          <w:right w:w="0" w:type="dxa"/>
        </w:tblCellMar>
      </w:tblPr>
      <w:tblGrid>
        <w:gridCol w:w="1830"/>
        <w:gridCol w:w="840"/>
        <w:gridCol w:w="509"/>
        <w:gridCol w:w="840"/>
        <w:gridCol w:w="900"/>
        <w:gridCol w:w="1065"/>
        <w:gridCol w:w="504"/>
        <w:gridCol w:w="675"/>
        <w:gridCol w:w="885"/>
        <w:gridCol w:w="519"/>
        <w:gridCol w:w="568"/>
        <w:gridCol w:w="885"/>
      </w:tblGrid>
      <w:tr>
        <w:tblPrEx>
          <w:tblCellMar>
            <w:top w:w="0" w:type="dxa"/>
            <w:left w:w="0" w:type="dxa"/>
            <w:bottom w:w="0" w:type="dxa"/>
            <w:right w:w="0" w:type="dxa"/>
          </w:tblCellMar>
        </w:tblPrEx>
        <w:trPr>
          <w:trHeight w:val="630" w:hRule="atLeast"/>
        </w:trPr>
        <w:tc>
          <w:tcPr>
            <w:tcW w:w="10020" w:type="dxa"/>
            <w:gridSpan w:val="12"/>
            <w:vMerge w:val="restart"/>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黑体" w:hAnsi="宋体" w:eastAsia="黑体" w:cs="黑体"/>
                <w:color w:val="000000"/>
                <w:sz w:val="48"/>
                <w:szCs w:val="48"/>
              </w:rPr>
            </w:pPr>
            <w:r>
              <w:rPr>
                <w:rFonts w:hint="eastAsia" w:ascii="黑体" w:hAnsi="宋体" w:eastAsia="黑体" w:cs="黑体"/>
                <w:color w:val="000000"/>
                <w:kern w:val="0"/>
                <w:sz w:val="48"/>
                <w:szCs w:val="48"/>
              </w:rPr>
              <w:t>2021年市级部门收入预算总表</w:t>
            </w:r>
          </w:p>
        </w:tc>
      </w:tr>
      <w:tr>
        <w:tblPrEx>
          <w:tblCellMar>
            <w:top w:w="0" w:type="dxa"/>
            <w:left w:w="0" w:type="dxa"/>
            <w:bottom w:w="0" w:type="dxa"/>
            <w:right w:w="0" w:type="dxa"/>
          </w:tblCellMar>
        </w:tblPrEx>
        <w:trPr>
          <w:trHeight w:val="624" w:hRule="atLeast"/>
        </w:trPr>
        <w:tc>
          <w:tcPr>
            <w:tcW w:w="10020" w:type="dxa"/>
            <w:gridSpan w:val="12"/>
            <w:vMerge w:val="continue"/>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r>
      <w:tr>
        <w:tblPrEx>
          <w:tblCellMar>
            <w:top w:w="0" w:type="dxa"/>
            <w:left w:w="0" w:type="dxa"/>
            <w:bottom w:w="0" w:type="dxa"/>
            <w:right w:w="0" w:type="dxa"/>
          </w:tblCellMar>
        </w:tblPrEx>
        <w:trPr>
          <w:trHeight w:val="285" w:hRule="atLeast"/>
        </w:trPr>
        <w:tc>
          <w:tcPr>
            <w:tcW w:w="1830"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840"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509"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840"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900"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1065"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504"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675"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885"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519"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568" w:type="dxa"/>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48"/>
                <w:szCs w:val="48"/>
              </w:rPr>
            </w:pPr>
          </w:p>
        </w:tc>
        <w:tc>
          <w:tcPr>
            <w:tcW w:w="885"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表06</w:t>
            </w:r>
          </w:p>
        </w:tc>
      </w:tr>
      <w:tr>
        <w:tblPrEx>
          <w:tblCellMar>
            <w:top w:w="0" w:type="dxa"/>
            <w:left w:w="0" w:type="dxa"/>
            <w:bottom w:w="0" w:type="dxa"/>
            <w:right w:w="0" w:type="dxa"/>
          </w:tblCellMar>
        </w:tblPrEx>
        <w:trPr>
          <w:trHeight w:val="285" w:hRule="atLeast"/>
        </w:trPr>
        <w:tc>
          <w:tcPr>
            <w:tcW w:w="9135" w:type="dxa"/>
            <w:gridSpan w:val="11"/>
            <w:tcBorders>
              <w:top w:val="nil"/>
              <w:left w:val="nil"/>
              <w:bottom w:val="nil"/>
              <w:right w:val="nil"/>
            </w:tcBorders>
            <w:shd w:val="clear" w:color="auto" w:fill="FFFFFF"/>
            <w:noWrap/>
            <w:tcMar>
              <w:top w:w="15" w:type="dxa"/>
              <w:left w:w="15" w:type="dxa"/>
              <w:right w:w="15" w:type="dxa"/>
            </w:tcMar>
            <w:vAlign w:val="center"/>
          </w:tcPr>
          <w:p>
            <w:pPr>
              <w:rPr>
                <w:rFonts w:ascii="Calibri" w:hAnsi="Calibri" w:cs="Calibri"/>
                <w:color w:val="000000"/>
                <w:sz w:val="22"/>
                <w:szCs w:val="22"/>
              </w:rPr>
            </w:pPr>
          </w:p>
        </w:tc>
        <w:tc>
          <w:tcPr>
            <w:tcW w:w="885"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单位:万元</w:t>
            </w:r>
          </w:p>
        </w:tc>
      </w:tr>
      <w:tr>
        <w:tblPrEx>
          <w:tblCellMar>
            <w:top w:w="0" w:type="dxa"/>
            <w:left w:w="0" w:type="dxa"/>
            <w:bottom w:w="0" w:type="dxa"/>
            <w:right w:w="0" w:type="dxa"/>
          </w:tblCellMar>
        </w:tblPrEx>
        <w:trPr>
          <w:trHeight w:val="60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上年结转和结余</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专户资金</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事业收入（不含专户资金）</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事业单位经营收入</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r>
      <w:tr>
        <w:tblPrEx>
          <w:tblCellMar>
            <w:top w:w="0" w:type="dxa"/>
            <w:left w:w="0" w:type="dxa"/>
            <w:bottom w:w="0" w:type="dxa"/>
            <w:right w:w="0" w:type="dxa"/>
          </w:tblCellMar>
        </w:tblPrEx>
        <w:trPr>
          <w:trHeight w:val="75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w:t>
            </w: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28,042.78</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27,004.78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4,504.78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22,500.00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1,038.00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r>
      <w:tr>
        <w:tblPrEx>
          <w:tblCellMar>
            <w:top w:w="0" w:type="dxa"/>
            <w:left w:w="0" w:type="dxa"/>
            <w:bottom w:w="0" w:type="dxa"/>
            <w:right w:w="0" w:type="dxa"/>
          </w:tblCellMar>
        </w:tblPrEx>
        <w:trPr>
          <w:trHeight w:val="45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台州技师学院（筹）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28,042.78</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27,004.78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4,504.78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22,500.00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1,038.00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W w:w="9090" w:type="dxa"/>
        <w:tblInd w:w="0" w:type="dxa"/>
        <w:tblLayout w:type="autofit"/>
        <w:tblCellMar>
          <w:top w:w="0" w:type="dxa"/>
          <w:left w:w="0" w:type="dxa"/>
          <w:bottom w:w="0" w:type="dxa"/>
          <w:right w:w="0" w:type="dxa"/>
        </w:tblCellMar>
      </w:tblPr>
      <w:tblGrid>
        <w:gridCol w:w="1830"/>
        <w:gridCol w:w="1095"/>
        <w:gridCol w:w="1020"/>
        <w:gridCol w:w="1185"/>
        <w:gridCol w:w="1050"/>
        <w:gridCol w:w="992"/>
        <w:gridCol w:w="888"/>
        <w:gridCol w:w="1030"/>
      </w:tblGrid>
      <w:tr>
        <w:tblPrEx>
          <w:tblCellMar>
            <w:top w:w="0" w:type="dxa"/>
            <w:left w:w="0" w:type="dxa"/>
            <w:bottom w:w="0" w:type="dxa"/>
            <w:right w:w="0" w:type="dxa"/>
          </w:tblCellMar>
        </w:tblPrEx>
        <w:trPr>
          <w:trHeight w:val="690" w:hRule="atLeast"/>
        </w:trPr>
        <w:tc>
          <w:tcPr>
            <w:tcW w:w="909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48"/>
                <w:szCs w:val="48"/>
              </w:rPr>
            </w:pPr>
            <w:r>
              <w:rPr>
                <w:rFonts w:hint="eastAsia" w:ascii="宋体" w:hAnsi="宋体" w:cs="宋体"/>
                <w:b/>
                <w:color w:val="000000"/>
                <w:kern w:val="0"/>
                <w:sz w:val="48"/>
                <w:szCs w:val="48"/>
              </w:rPr>
              <w:t>2021年市级部门支出预算总表</w:t>
            </w:r>
          </w:p>
        </w:tc>
      </w:tr>
      <w:tr>
        <w:tblPrEx>
          <w:tblCellMar>
            <w:top w:w="0" w:type="dxa"/>
            <w:left w:w="0" w:type="dxa"/>
            <w:bottom w:w="0" w:type="dxa"/>
            <w:right w:w="0" w:type="dxa"/>
          </w:tblCellMar>
        </w:tblPrEx>
        <w:trPr>
          <w:trHeight w:val="33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b/>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表</w:t>
            </w:r>
            <w:r>
              <w:rPr>
                <w:rFonts w:ascii="Calibri" w:hAnsi="Calibri" w:cs="Calibri"/>
                <w:color w:val="000000"/>
                <w:kern w:val="0"/>
                <w:sz w:val="20"/>
                <w:szCs w:val="20"/>
              </w:rPr>
              <w:t>07</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rPr>
                <w:rFonts w:ascii="Calibri" w:hAnsi="Calibri" w:cs="Calibri"/>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ascii="Calibri" w:hAnsi="Calibri" w:cs="Calibri"/>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ascii="Calibri" w:hAnsi="Calibri" w:cs="Calibri"/>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ascii="Calibri" w:hAnsi="Calibri" w:cs="Calibri"/>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ascii="Calibri" w:hAnsi="Calibri" w:cs="Calibri"/>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ascii="Calibri" w:hAnsi="Calibri" w:cs="Calibri"/>
                <w:color w:val="000000"/>
                <w:sz w:val="20"/>
                <w:szCs w:val="20"/>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事业单位经营支出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r>
      <w:tr>
        <w:tblPrEx>
          <w:tblCellMar>
            <w:top w:w="0" w:type="dxa"/>
            <w:left w:w="0" w:type="dxa"/>
            <w:bottom w:w="0" w:type="dxa"/>
            <w:right w:w="0" w:type="dxa"/>
          </w:tblCellMar>
        </w:tblPrEx>
        <w:trPr>
          <w:trHeight w:val="54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日常公用支出</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28,042.78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2,702.62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340.16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台州技师学院（筹）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28,042.78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2,702.62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340.16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cs="Calibri"/>
                <w:color w:val="000000"/>
                <w:kern w:val="0"/>
                <w:sz w:val="20"/>
                <w:szCs w:val="20"/>
              </w:rPr>
              <w:t>25,000.00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Calibri" w:hAnsi="Calibri" w:cs="Calibri"/>
                <w:color w:val="000000"/>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W w:w="9075" w:type="dxa"/>
        <w:tblInd w:w="0" w:type="dxa"/>
        <w:tblLayout w:type="autofit"/>
        <w:tblCellMar>
          <w:top w:w="0" w:type="dxa"/>
          <w:left w:w="0" w:type="dxa"/>
          <w:bottom w:w="0" w:type="dxa"/>
          <w:right w:w="0" w:type="dxa"/>
        </w:tblCellMar>
      </w:tblPr>
      <w:tblGrid>
        <w:gridCol w:w="7429"/>
        <w:gridCol w:w="1646"/>
      </w:tblGrid>
      <w:tr>
        <w:tblPrEx>
          <w:tblCellMar>
            <w:top w:w="0" w:type="dxa"/>
            <w:left w:w="0" w:type="dxa"/>
            <w:bottom w:w="0" w:type="dxa"/>
            <w:right w:w="0" w:type="dxa"/>
          </w:tblCellMar>
        </w:tblPrEx>
        <w:trPr>
          <w:trHeight w:val="1365" w:hRule="atLeast"/>
        </w:trPr>
        <w:tc>
          <w:tcPr>
            <w:tcW w:w="907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b/>
                <w:color w:val="000000"/>
                <w:sz w:val="48"/>
                <w:szCs w:val="48"/>
              </w:rPr>
            </w:pPr>
            <w:r>
              <w:rPr>
                <w:rFonts w:hint="eastAsia" w:ascii="宋体" w:hAnsi="宋体" w:cs="宋体"/>
                <w:b/>
                <w:color w:val="000000"/>
                <w:kern w:val="0"/>
                <w:sz w:val="48"/>
                <w:szCs w:val="48"/>
              </w:rPr>
              <w:t>2021年一般公共预算“三公”经费表</w:t>
            </w:r>
          </w:p>
        </w:tc>
      </w:tr>
      <w:tr>
        <w:tblPrEx>
          <w:tblCellMar>
            <w:top w:w="0" w:type="dxa"/>
            <w:left w:w="0" w:type="dxa"/>
            <w:bottom w:w="0" w:type="dxa"/>
            <w:right w:w="0" w:type="dxa"/>
          </w:tblCellMar>
        </w:tblPrEx>
        <w:trPr>
          <w:trHeight w:val="33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Calibri" w:hAnsi="Calibri" w:cs="Calibri"/>
                <w:color w:val="000000"/>
                <w:sz w:val="22"/>
                <w:szCs w:val="22"/>
              </w:rPr>
            </w:pPr>
            <w:r>
              <w:rPr>
                <w:rFonts w:ascii="Calibri" w:hAnsi="Calibri" w:cs="Calibri"/>
                <w:color w:val="000000"/>
                <w:kern w:val="0"/>
                <w:sz w:val="22"/>
                <w:szCs w:val="22"/>
              </w:rPr>
              <w:t>表08</w:t>
            </w:r>
          </w:p>
        </w:tc>
      </w:tr>
      <w:tr>
        <w:tblPrEx>
          <w:tblCellMar>
            <w:top w:w="0" w:type="dxa"/>
            <w:left w:w="0" w:type="dxa"/>
            <w:bottom w:w="0" w:type="dxa"/>
            <w:right w:w="0" w:type="dxa"/>
          </w:tblCellMar>
        </w:tblPrEx>
        <w:trPr>
          <w:trHeight w:val="36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Calibri" w:hAnsi="Calibri" w:cs="Calibri"/>
                <w:color w:val="000000"/>
                <w:sz w:val="24"/>
              </w:rPr>
            </w:pPr>
            <w:r>
              <w:rPr>
                <w:rFonts w:ascii="Calibri" w:hAnsi="Calibri" w:cs="Calibri"/>
                <w:color w:val="000000"/>
                <w:kern w:val="0"/>
                <w:sz w:val="24"/>
              </w:rPr>
              <w:t>单位：万元</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4"/>
              </w:rPr>
            </w:pPr>
            <w:r>
              <w:rPr>
                <w:rFonts w:ascii="Calibri" w:hAnsi="Calibri" w:cs="Calibri"/>
                <w:color w:val="000000"/>
                <w:kern w:val="0"/>
                <w:sz w:val="24"/>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4"/>
              </w:rPr>
            </w:pPr>
            <w:r>
              <w:rPr>
                <w:rFonts w:ascii="Calibri" w:hAnsi="Calibri" w:cs="Calibri"/>
                <w:color w:val="000000"/>
                <w:kern w:val="0"/>
                <w:sz w:val="24"/>
              </w:rPr>
              <w:t>预算数</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4"/>
              </w:rPr>
            </w:pPr>
            <w:r>
              <w:rPr>
                <w:rFonts w:ascii="Calibri" w:hAnsi="Calibri" w:cs="Calibri"/>
                <w:color w:val="000000"/>
                <w:kern w:val="0"/>
                <w:sz w:val="24"/>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4.15</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4"/>
              </w:rPr>
            </w:pPr>
            <w:r>
              <w:rPr>
                <w:rFonts w:ascii="Calibri" w:hAnsi="Calibri" w:cs="Calibri"/>
                <w:color w:val="000000"/>
                <w:kern w:val="0"/>
                <w:sz w:val="24"/>
              </w:rPr>
              <w:t>1.因公出国（境）费用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4"/>
              </w:rPr>
            </w:pPr>
            <w:r>
              <w:rPr>
                <w:rFonts w:ascii="Calibri" w:hAnsi="Calibri" w:cs="Calibri"/>
                <w:color w:val="000000"/>
                <w:kern w:val="0"/>
                <w:sz w:val="24"/>
              </w:rPr>
              <w:t>2.公务接待费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4"/>
              </w:rPr>
            </w:pPr>
            <w:r>
              <w:rPr>
                <w:rFonts w:ascii="Calibri" w:hAnsi="Calibri" w:cs="Calibri"/>
                <w:color w:val="000000"/>
                <w:kern w:val="0"/>
                <w:sz w:val="24"/>
              </w:rPr>
              <w:t>3.公务用车购置及运行维护费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4.15</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4"/>
              </w:rPr>
            </w:pPr>
            <w:r>
              <w:rPr>
                <w:rFonts w:ascii="Calibri" w:hAnsi="Calibri" w:cs="Calibri"/>
                <w:color w:val="000000"/>
                <w:kern w:val="0"/>
                <w:sz w:val="24"/>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Calibri" w:hAnsi="Calibri" w:cs="Calibri"/>
                <w:color w:val="000000"/>
                <w:sz w:val="24"/>
              </w:rPr>
            </w:pPr>
            <w:r>
              <w:rPr>
                <w:rFonts w:ascii="Calibri" w:hAnsi="Calibri" w:cs="Calibri"/>
                <w:color w:val="000000"/>
                <w:kern w:val="0"/>
                <w:sz w:val="24"/>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4.15</w:t>
            </w:r>
          </w:p>
        </w:tc>
      </w:tr>
      <w:tr>
        <w:tblPrEx>
          <w:tblCellMar>
            <w:top w:w="0" w:type="dxa"/>
            <w:left w:w="0" w:type="dxa"/>
            <w:bottom w:w="0" w:type="dxa"/>
            <w:right w:w="0" w:type="dxa"/>
          </w:tblCellMar>
        </w:tblPrEx>
        <w:trPr>
          <w:trHeight w:val="45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Calibri" w:hAnsi="Calibri" w:cs="Calibri"/>
                <w:color w:val="000000"/>
                <w:sz w:val="24"/>
              </w:rPr>
            </w:pPr>
            <w:r>
              <w:rPr>
                <w:rFonts w:ascii="Calibri" w:hAnsi="Calibri" w:cs="Calibri"/>
                <w:color w:val="000000"/>
                <w:kern w:val="0"/>
                <w:sz w:val="24"/>
              </w:rPr>
              <w:t>注：不含教学科研人员学术交流因公出国（境）费用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4"/>
              </w:rPr>
            </w:pP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5"/>
        <w:tblW w:w="8760" w:type="dxa"/>
        <w:tblInd w:w="0" w:type="dxa"/>
        <w:tblLayout w:type="fixed"/>
        <w:tblCellMar>
          <w:top w:w="0" w:type="dxa"/>
          <w:left w:w="0" w:type="dxa"/>
          <w:bottom w:w="0" w:type="dxa"/>
          <w:right w:w="0" w:type="dxa"/>
        </w:tblCellMar>
      </w:tblPr>
      <w:tblGrid>
        <w:gridCol w:w="1663"/>
        <w:gridCol w:w="3480"/>
        <w:gridCol w:w="711"/>
        <w:gridCol w:w="849"/>
        <w:gridCol w:w="938"/>
        <w:gridCol w:w="1119"/>
      </w:tblGrid>
      <w:tr>
        <w:tblPrEx>
          <w:tblCellMar>
            <w:top w:w="0" w:type="dxa"/>
            <w:left w:w="0" w:type="dxa"/>
            <w:bottom w:w="0" w:type="dxa"/>
            <w:right w:w="0" w:type="dxa"/>
          </w:tblCellMar>
        </w:tblPrEx>
        <w:trPr>
          <w:trHeight w:val="810" w:hRule="atLeast"/>
        </w:trPr>
        <w:tc>
          <w:tcPr>
            <w:tcW w:w="8760" w:type="dxa"/>
            <w:gridSpan w:val="6"/>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b/>
                <w:color w:val="000000"/>
                <w:sz w:val="28"/>
                <w:szCs w:val="28"/>
              </w:rPr>
            </w:pPr>
            <w:r>
              <w:rPr>
                <w:rFonts w:hint="eastAsia" w:ascii="宋体" w:hAnsi="宋体" w:cs="宋体"/>
                <w:b/>
                <w:color w:val="000000"/>
                <w:kern w:val="0"/>
                <w:sz w:val="28"/>
                <w:szCs w:val="28"/>
              </w:rPr>
              <w:t>2021年市级部门预算财政拨款重点项目支出预算表</w:t>
            </w:r>
          </w:p>
        </w:tc>
      </w:tr>
      <w:tr>
        <w:tblPrEx>
          <w:tblCellMar>
            <w:top w:w="0" w:type="dxa"/>
            <w:left w:w="0" w:type="dxa"/>
            <w:bottom w:w="0" w:type="dxa"/>
            <w:right w:w="0" w:type="dxa"/>
          </w:tblCellMar>
        </w:tblPrEx>
        <w:trPr>
          <w:trHeight w:val="300" w:hRule="atLeast"/>
        </w:trPr>
        <w:tc>
          <w:tcPr>
            <w:tcW w:w="1663"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3480"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711"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849"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938"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1119"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Calibri" w:hAnsi="Calibri" w:cs="Calibri"/>
                <w:color w:val="000000"/>
                <w:sz w:val="22"/>
                <w:szCs w:val="22"/>
              </w:rPr>
            </w:pPr>
            <w:r>
              <w:rPr>
                <w:rFonts w:ascii="Calibri" w:hAnsi="Calibri" w:cs="Calibri"/>
                <w:color w:val="000000"/>
                <w:kern w:val="0"/>
                <w:sz w:val="22"/>
                <w:szCs w:val="22"/>
              </w:rPr>
              <w:t>表09</w:t>
            </w:r>
          </w:p>
        </w:tc>
      </w:tr>
      <w:tr>
        <w:tblPrEx>
          <w:tblCellMar>
            <w:top w:w="0" w:type="dxa"/>
            <w:left w:w="0" w:type="dxa"/>
            <w:bottom w:w="0" w:type="dxa"/>
            <w:right w:w="0" w:type="dxa"/>
          </w:tblCellMar>
        </w:tblPrEx>
        <w:trPr>
          <w:trHeight w:val="300" w:hRule="atLeast"/>
        </w:trPr>
        <w:tc>
          <w:tcPr>
            <w:tcW w:w="1663"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3480"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711"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849"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938" w:type="dxa"/>
            <w:tcBorders>
              <w:top w:val="nil"/>
              <w:left w:val="nil"/>
              <w:bottom w:val="nil"/>
              <w:right w:val="nil"/>
            </w:tcBorders>
            <w:shd w:val="clear" w:color="auto" w:fill="auto"/>
            <w:noWrap/>
            <w:tcMar>
              <w:top w:w="15" w:type="dxa"/>
              <w:left w:w="15" w:type="dxa"/>
              <w:right w:w="15" w:type="dxa"/>
            </w:tcMar>
            <w:vAlign w:val="bottom"/>
          </w:tcPr>
          <w:p>
            <w:pPr>
              <w:rPr>
                <w:rFonts w:ascii="Calibri" w:hAnsi="Calibri" w:cs="Calibri"/>
                <w:color w:val="000000"/>
                <w:sz w:val="22"/>
                <w:szCs w:val="22"/>
              </w:rPr>
            </w:pPr>
          </w:p>
        </w:tc>
        <w:tc>
          <w:tcPr>
            <w:tcW w:w="1119"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Calibri" w:hAnsi="Calibri" w:cs="Calibri"/>
                <w:color w:val="000000"/>
                <w:sz w:val="22"/>
                <w:szCs w:val="22"/>
              </w:rPr>
            </w:pPr>
            <w:r>
              <w:rPr>
                <w:rFonts w:ascii="Calibri" w:hAnsi="Calibri" w:cs="Calibri"/>
                <w:color w:val="000000"/>
                <w:kern w:val="0"/>
                <w:sz w:val="22"/>
                <w:szCs w:val="22"/>
              </w:rPr>
              <w:t>单位：万元</w:t>
            </w:r>
          </w:p>
        </w:tc>
      </w:tr>
      <w:tr>
        <w:tblPrEx>
          <w:tblCellMar>
            <w:top w:w="0" w:type="dxa"/>
            <w:left w:w="0" w:type="dxa"/>
            <w:bottom w:w="0" w:type="dxa"/>
            <w:right w:w="0" w:type="dxa"/>
          </w:tblCellMar>
        </w:tblPrEx>
        <w:trPr>
          <w:trHeight w:val="42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cs="Calibri"/>
                <w:color w:val="000000"/>
                <w:kern w:val="0"/>
                <w:sz w:val="22"/>
                <w:szCs w:val="22"/>
              </w:rPr>
              <w:t>单位名称</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cs="Calibri"/>
                <w:color w:val="000000"/>
                <w:kern w:val="0"/>
                <w:sz w:val="22"/>
                <w:szCs w:val="22"/>
              </w:rPr>
              <w:t>项目名称</w:t>
            </w:r>
          </w:p>
        </w:tc>
        <w:tc>
          <w:tcPr>
            <w:tcW w:w="24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cs="Calibri"/>
                <w:color w:val="000000"/>
                <w:kern w:val="0"/>
                <w:sz w:val="22"/>
                <w:szCs w:val="22"/>
              </w:rPr>
              <w:t>财政拨款</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cs="Calibri"/>
                <w:color w:val="000000"/>
                <w:kern w:val="0"/>
                <w:sz w:val="22"/>
                <w:szCs w:val="22"/>
              </w:rPr>
              <w:t>项目绩效目标</w:t>
            </w:r>
          </w:p>
        </w:tc>
      </w:tr>
      <w:tr>
        <w:tblPrEx>
          <w:tblCellMar>
            <w:top w:w="0" w:type="dxa"/>
            <w:left w:w="0" w:type="dxa"/>
            <w:bottom w:w="0" w:type="dxa"/>
            <w:right w:w="0" w:type="dxa"/>
          </w:tblCellMar>
        </w:tblPrEx>
        <w:trPr>
          <w:trHeight w:val="42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Calibri" w:hAnsi="Calibri" w:cs="Calibri"/>
                <w:color w:val="000000"/>
                <w:sz w:val="22"/>
                <w:szCs w:val="22"/>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Calibri" w:hAnsi="Calibri" w:cs="Calibri"/>
                <w:color w:val="000000"/>
                <w:sz w:val="22"/>
                <w:szCs w:val="22"/>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cs="Calibri"/>
                <w:color w:val="000000"/>
                <w:kern w:val="0"/>
                <w:sz w:val="22"/>
                <w:szCs w:val="22"/>
              </w:rPr>
              <w:t>合计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cs="Calibri"/>
                <w:color w:val="000000"/>
                <w:kern w:val="0"/>
                <w:sz w:val="22"/>
                <w:szCs w:val="22"/>
              </w:rPr>
              <w:t>一般公共预算</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cs="Calibri"/>
                <w:color w:val="000000"/>
                <w:kern w:val="0"/>
                <w:sz w:val="22"/>
                <w:szCs w:val="22"/>
              </w:rPr>
              <w:t>政府性基金</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42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Calibri" w:hAnsi="Calibri" w:eastAsia="宋体" w:cs="Calibri"/>
                <w:color w:val="000000"/>
                <w:sz w:val="22"/>
                <w:szCs w:val="22"/>
                <w:lang w:val="en-US" w:eastAsia="zh-CN"/>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Calibri" w:hAnsi="Calibri" w:eastAsia="宋体" w:cs="Calibri"/>
                <w:i w:val="0"/>
                <w:color w:val="000000"/>
                <w:kern w:val="2"/>
                <w:sz w:val="22"/>
                <w:szCs w:val="22"/>
                <w:u w:val="none"/>
                <w:lang w:val="en-US" w:eastAsia="zh-CN" w:bidi="ar-SA"/>
              </w:rPr>
            </w:pPr>
            <w:r>
              <w:rPr>
                <w:rFonts w:hint="eastAsia" w:ascii="Calibri" w:hAnsi="Calibri" w:cs="Calibri"/>
                <w:i w:val="0"/>
                <w:color w:val="000000"/>
                <w:kern w:val="2"/>
                <w:sz w:val="22"/>
                <w:szCs w:val="22"/>
                <w:u w:val="none"/>
                <w:lang w:val="en-US" w:eastAsia="zh-CN" w:bidi="ar-SA"/>
              </w:rPr>
              <w:t>合计</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kern w:val="2"/>
                <w:sz w:val="22"/>
                <w:szCs w:val="22"/>
                <w:u w:val="none"/>
                <w:lang w:val="en-US" w:eastAsia="zh-CN" w:bidi="ar-SA"/>
              </w:rPr>
              <w:t>24200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kern w:val="2"/>
                <w:sz w:val="22"/>
                <w:szCs w:val="22"/>
                <w:u w:val="none"/>
                <w:lang w:val="en-US" w:eastAsia="zh-CN" w:bidi="ar-SA"/>
              </w:rPr>
              <w:t>1700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Calibri" w:hAnsi="Calibri" w:eastAsia="宋体" w:cs="Calibri"/>
                <w:color w:val="000000"/>
                <w:kern w:val="0"/>
                <w:sz w:val="22"/>
                <w:szCs w:val="22"/>
                <w:lang w:val="en-US" w:eastAsia="zh-CN"/>
              </w:rPr>
            </w:pPr>
            <w:r>
              <w:rPr>
                <w:rFonts w:hint="eastAsia" w:ascii="Calibri" w:hAnsi="Calibri" w:cs="Calibri"/>
                <w:color w:val="000000"/>
                <w:kern w:val="0"/>
                <w:sz w:val="22"/>
                <w:szCs w:val="22"/>
                <w:lang w:val="en-US" w:eastAsia="zh-CN"/>
              </w:rPr>
              <w:t>22500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Calibri" w:hAnsi="Calibri" w:cs="Calibri"/>
                <w:color w:val="000000"/>
                <w:sz w:val="22"/>
                <w:szCs w:val="22"/>
              </w:rPr>
            </w:pPr>
          </w:p>
        </w:tc>
      </w:tr>
      <w:tr>
        <w:tblPrEx>
          <w:tblCellMar>
            <w:top w:w="0" w:type="dxa"/>
            <w:left w:w="0" w:type="dxa"/>
            <w:bottom w:w="0" w:type="dxa"/>
            <w:right w:w="0" w:type="dxa"/>
          </w:tblCellMar>
        </w:tblPrEx>
        <w:trPr>
          <w:trHeight w:val="42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Calibri" w:hAnsi="Calibri" w:eastAsia="宋体" w:cs="Calibri"/>
                <w:color w:val="000000"/>
                <w:kern w:val="2"/>
                <w:sz w:val="22"/>
                <w:szCs w:val="22"/>
                <w:lang w:val="en-US" w:eastAsia="zh-CN" w:bidi="ar-SA"/>
              </w:rPr>
            </w:pPr>
            <w:r>
              <w:rPr>
                <w:rFonts w:hint="eastAsia" w:ascii="Calibri" w:hAnsi="Calibri" w:cs="Calibri"/>
                <w:color w:val="000000"/>
                <w:sz w:val="22"/>
                <w:szCs w:val="22"/>
                <w:lang w:val="en-US" w:eastAsia="zh-CN"/>
              </w:rPr>
              <w:t>台州技师学院（筹）</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台州技师学院工程（专项债券安排的项目）</w:t>
            </w:r>
            <w:bookmarkStart w:id="0" w:name="_GoBack"/>
            <w:bookmarkEnd w:id="0"/>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1700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1700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eastAsia="宋体" w:cs="Calibri"/>
                <w:color w:val="000000"/>
                <w:kern w:val="0"/>
                <w:sz w:val="22"/>
                <w:szCs w:val="22"/>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Calibri" w:hAnsi="Calibri" w:eastAsia="宋体" w:cs="Calibri"/>
                <w:color w:val="000000"/>
                <w:kern w:val="2"/>
                <w:sz w:val="22"/>
                <w:szCs w:val="22"/>
                <w:lang w:val="en-US" w:eastAsia="zh-CN" w:bidi="ar-SA"/>
              </w:rPr>
            </w:pPr>
            <w:r>
              <w:rPr>
                <w:rFonts w:hint="eastAsia" w:ascii="Calibri" w:hAnsi="Calibri" w:cs="Calibri"/>
                <w:color w:val="000000"/>
                <w:sz w:val="22"/>
                <w:szCs w:val="22"/>
              </w:rPr>
              <w:t>加快技师学院新校区一期工程基建施工进度，保障工程质量。</w:t>
            </w:r>
          </w:p>
        </w:tc>
      </w:tr>
      <w:tr>
        <w:tblPrEx>
          <w:tblCellMar>
            <w:top w:w="0" w:type="dxa"/>
            <w:left w:w="0" w:type="dxa"/>
            <w:bottom w:w="0" w:type="dxa"/>
            <w:right w:w="0" w:type="dxa"/>
          </w:tblCellMar>
        </w:tblPrEx>
        <w:trPr>
          <w:trHeight w:val="420"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Calibri" w:hAnsi="Calibri" w:eastAsia="宋体" w:cs="Calibri"/>
                <w:color w:val="000000"/>
                <w:kern w:val="2"/>
                <w:sz w:val="22"/>
                <w:szCs w:val="22"/>
                <w:lang w:val="en-US" w:eastAsia="zh-CN" w:bidi="ar-SA"/>
              </w:rPr>
            </w:pPr>
            <w:r>
              <w:rPr>
                <w:rFonts w:hint="eastAsia" w:ascii="Calibri" w:hAnsi="Calibri" w:cs="Calibri"/>
                <w:color w:val="000000"/>
                <w:sz w:val="22"/>
                <w:szCs w:val="22"/>
                <w:lang w:eastAsia="zh-CN"/>
              </w:rPr>
              <w:t>台州技师学院（筹）</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台州技师学院工程</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22500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Calibri" w:hAnsi="Calibri" w:eastAsia="宋体" w:cs="Calibri"/>
                <w:color w:val="000000"/>
                <w:kern w:val="0"/>
                <w:sz w:val="22"/>
                <w:szCs w:val="22"/>
                <w:lang w:val="en-US" w:eastAsia="zh-CN" w:bidi="ar-SA"/>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kern w:val="2"/>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22500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Calibri" w:hAnsi="Calibri" w:eastAsia="宋体" w:cs="Calibri"/>
                <w:color w:val="000000"/>
                <w:kern w:val="2"/>
                <w:sz w:val="22"/>
                <w:szCs w:val="22"/>
                <w:lang w:val="en-US" w:eastAsia="zh-CN" w:bidi="ar-SA"/>
              </w:rPr>
            </w:pPr>
            <w:r>
              <w:rPr>
                <w:rFonts w:hint="eastAsia" w:ascii="Calibri" w:hAnsi="Calibri" w:cs="Calibri"/>
                <w:color w:val="000000"/>
                <w:sz w:val="22"/>
                <w:szCs w:val="22"/>
              </w:rPr>
              <w:t>加快技师学院新校区一期工程基建施工进度，保障工程质量。</w:t>
            </w:r>
          </w:p>
        </w:tc>
      </w:tr>
    </w:tbl>
    <w:p>
      <w:pPr>
        <w:pStyle w:val="2"/>
        <w:rPr>
          <w:rFonts w:hint="default"/>
        </w:rPr>
      </w:pPr>
    </w:p>
    <w:sectPr>
      <w:footerReference r:id="rId3" w:type="default"/>
      <w:footerReference r:id="rId4" w:type="even"/>
      <w:pgSz w:w="11906" w:h="16838"/>
      <w:pgMar w:top="2098" w:right="1588"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rPr>
        <w:rFonts w:cs="Times New Roman"/>
      </w:rPr>
    </w:lvl>
  </w:abstractNum>
  <w:abstractNum w:abstractNumId="1">
    <w:nsid w:val="5895A99C"/>
    <w:multiLevelType w:val="singleLevel"/>
    <w:tmpl w:val="5895A99C"/>
    <w:lvl w:ilvl="0" w:tentative="0">
      <w:start w:val="5"/>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4B"/>
    <w:rsid w:val="002B78AA"/>
    <w:rsid w:val="002C1905"/>
    <w:rsid w:val="003330A5"/>
    <w:rsid w:val="003C2753"/>
    <w:rsid w:val="00464488"/>
    <w:rsid w:val="004A39BA"/>
    <w:rsid w:val="00673F6C"/>
    <w:rsid w:val="006C7F2F"/>
    <w:rsid w:val="00731E6F"/>
    <w:rsid w:val="008D3DD5"/>
    <w:rsid w:val="008E694B"/>
    <w:rsid w:val="00945232"/>
    <w:rsid w:val="009B425E"/>
    <w:rsid w:val="009C39BE"/>
    <w:rsid w:val="00A852C9"/>
    <w:rsid w:val="00BB769D"/>
    <w:rsid w:val="00BE07FD"/>
    <w:rsid w:val="00CC3678"/>
    <w:rsid w:val="00CE15D1"/>
    <w:rsid w:val="00E64B38"/>
    <w:rsid w:val="03CE1614"/>
    <w:rsid w:val="04304268"/>
    <w:rsid w:val="0D0140D4"/>
    <w:rsid w:val="0D694ADB"/>
    <w:rsid w:val="0E9A135B"/>
    <w:rsid w:val="0FD54239"/>
    <w:rsid w:val="10C038F2"/>
    <w:rsid w:val="150E7DBD"/>
    <w:rsid w:val="18183D90"/>
    <w:rsid w:val="18E86F89"/>
    <w:rsid w:val="1A602ADE"/>
    <w:rsid w:val="1D9E0DD3"/>
    <w:rsid w:val="1DBF147B"/>
    <w:rsid w:val="1FE17128"/>
    <w:rsid w:val="25CC181D"/>
    <w:rsid w:val="267D15DA"/>
    <w:rsid w:val="27AD0924"/>
    <w:rsid w:val="326340F8"/>
    <w:rsid w:val="447A2FC8"/>
    <w:rsid w:val="454C5CBD"/>
    <w:rsid w:val="4C2A5A3A"/>
    <w:rsid w:val="4E846FB0"/>
    <w:rsid w:val="504B2E6C"/>
    <w:rsid w:val="51C21DD8"/>
    <w:rsid w:val="58CE2FBA"/>
    <w:rsid w:val="5CD10E7D"/>
    <w:rsid w:val="634421C6"/>
    <w:rsid w:val="6C902F6D"/>
    <w:rsid w:val="7E5D2D6A"/>
    <w:rsid w:val="7FD6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paragraph" w:customStyle="1" w:styleId="9">
    <w:name w:val="Char"/>
    <w:basedOn w:val="1"/>
    <w:qFormat/>
    <w:uiPriority w:val="0"/>
    <w:rPr>
      <w:rFonts w:ascii="宋体" w:hAnsi="宋体" w:cs="Courier New"/>
      <w:sz w:val="32"/>
      <w:szCs w:val="32"/>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p0"/>
    <w:basedOn w:val="1"/>
    <w:qFormat/>
    <w:uiPriority w:val="99"/>
    <w:pPr>
      <w:widowControl/>
    </w:pPr>
    <w:rPr>
      <w:rFonts w:ascii="Calibri" w:hAnsi="Calibri" w:cs="宋体"/>
      <w:kern w:val="0"/>
      <w:szCs w:val="21"/>
    </w:rPr>
  </w:style>
  <w:style w:type="character" w:customStyle="1" w:styleId="13">
    <w:name w:val="font31"/>
    <w:basedOn w:val="6"/>
    <w:qFormat/>
    <w:uiPriority w:val="0"/>
    <w:rPr>
      <w:rFonts w:hint="eastAsia" w:ascii="宋体" w:hAnsi="宋体" w:eastAsia="宋体" w:cs="宋体"/>
      <w:color w:val="000000"/>
      <w:sz w:val="20"/>
      <w:szCs w:val="20"/>
      <w:u w:val="none"/>
    </w:rPr>
  </w:style>
  <w:style w:type="character" w:customStyle="1" w:styleId="14">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1192</Words>
  <Characters>6795</Characters>
  <Lines>56</Lines>
  <Paragraphs>15</Paragraphs>
  <TotalTime>1</TotalTime>
  <ScaleCrop>false</ScaleCrop>
  <LinksUpToDate>false</LinksUpToDate>
  <CharactersWithSpaces>7972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2018-01-23T01:40:00Z</dcterms:created>
  <dc:creator>潘才鑫  </dc:creator>
  <cp:lastModifiedBy>WPS_1528086056</cp:lastModifiedBy>
  <cp:lastPrinted>2021-03-05T01:12:00Z</cp:lastPrinted>
  <dcterms:modified xsi:type="dcterms:W3CDTF">2021-03-05T03:09:25Z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